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3F5968C9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487FBC">
        <w:rPr>
          <w:rFonts w:ascii="Arial" w:hAnsi="Arial" w:cs="Arial"/>
          <w:b/>
          <w:bCs/>
        </w:rPr>
        <w:t>7</w:t>
      </w:r>
      <w:r w:rsidR="00421815">
        <w:rPr>
          <w:rFonts w:ascii="Arial" w:hAnsi="Arial" w:cs="Arial"/>
          <w:b/>
          <w:bCs/>
        </w:rPr>
        <w:t>bis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786B3E">
        <w:rPr>
          <w:rFonts w:ascii="Arial" w:hAnsi="Arial" w:cs="Arial"/>
          <w:b/>
          <w:bCs/>
        </w:rPr>
        <w:t>2200417</w:t>
      </w:r>
    </w:p>
    <w:p w14:paraId="0D292B05" w14:textId="17C214BC" w:rsidR="00AE0A9C" w:rsidRPr="00791540" w:rsidRDefault="00421815" w:rsidP="00AE0A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421815">
        <w:rPr>
          <w:rFonts w:ascii="Arial" w:eastAsia="MS Mincho" w:hAnsi="Arial" w:cs="Arial"/>
          <w:b/>
          <w:bCs/>
          <w:szCs w:val="22"/>
          <w:lang w:val="en-GB" w:eastAsia="ja-JP"/>
        </w:rPr>
        <w:t>e-Meeting, January 17</w:t>
      </w:r>
      <w:r w:rsidRPr="00421815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42181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25</w:t>
      </w:r>
      <w:r w:rsidRPr="00421815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421815">
        <w:rPr>
          <w:rFonts w:ascii="Arial" w:eastAsia="MS Mincho" w:hAnsi="Arial" w:cs="Arial"/>
          <w:b/>
          <w:bCs/>
          <w:szCs w:val="22"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8AF7B0B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8215D">
        <w:rPr>
          <w:sz w:val="22"/>
          <w:szCs w:val="22"/>
        </w:rPr>
        <w:t>Remaining issues on p</w:t>
      </w:r>
      <w:r w:rsidR="00C377A0">
        <w:rPr>
          <w:sz w:val="22"/>
          <w:szCs w:val="22"/>
          <w:lang w:val="en-GB"/>
        </w:rPr>
        <w:t xml:space="preserve">aging </w:t>
      </w:r>
      <w:r w:rsidR="00876383">
        <w:rPr>
          <w:sz w:val="22"/>
          <w:szCs w:val="22"/>
          <w:lang w:val="en-GB"/>
        </w:rPr>
        <w:t>enhancements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 </w:t>
      </w:r>
      <w:r w:rsidR="000B70ED">
        <w:rPr>
          <w:sz w:val="20"/>
          <w:szCs w:val="20"/>
          <w:lang w:val="en-GB" w:eastAsia="zh-TW"/>
        </w:rPr>
        <w:t>UE</w:t>
      </w:r>
      <w:r w:rsidR="00FC1C85">
        <w:rPr>
          <w:sz w:val="20"/>
          <w:szCs w:val="20"/>
          <w:lang w:val="en-GB" w:eastAsia="zh-TW"/>
        </w:rPr>
        <w:t>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6CE4DC77" w14:textId="4DA6D0F0" w:rsidR="0042491A" w:rsidRPr="00950264" w:rsidRDefault="008A7052" w:rsidP="00963EF7">
      <w:pPr>
        <w:pStyle w:val="0Maintext"/>
        <w:spacing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/>
        </w:rPr>
        <w:t>The</w:t>
      </w:r>
      <w:r w:rsidR="006321CF">
        <w:rPr>
          <w:sz w:val="22"/>
          <w:szCs w:val="22"/>
          <w:lang w:val="en-US"/>
        </w:rPr>
        <w:t xml:space="preserve"> work item </w:t>
      </w:r>
      <w:r w:rsidR="00D606E7">
        <w:rPr>
          <w:sz w:val="22"/>
          <w:szCs w:val="22"/>
          <w:lang w:val="en-US"/>
        </w:rPr>
        <w:t xml:space="preserve">on </w:t>
      </w:r>
      <w:r w:rsidR="00D606E7"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>R</w:t>
      </w:r>
      <w:r w:rsidRPr="008A705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(</w:t>
      </w:r>
      <w:r w:rsidRPr="00F25070">
        <w:rPr>
          <w:sz w:val="22"/>
          <w:szCs w:val="22"/>
          <w:lang w:val="en-US"/>
        </w:rPr>
        <w:t xml:space="preserve">RP-200938 </w:t>
      </w:r>
      <w:r>
        <w:rPr>
          <w:sz w:val="22"/>
          <w:szCs w:val="22"/>
          <w:lang w:val="en-US"/>
        </w:rPr>
        <w:t>[1])</w:t>
      </w:r>
      <w:r w:rsidR="00F25070">
        <w:rPr>
          <w:sz w:val="22"/>
          <w:szCs w:val="22"/>
          <w:lang w:val="en-US"/>
        </w:rPr>
        <w:t xml:space="preserve"> was </w:t>
      </w:r>
      <w:r>
        <w:rPr>
          <w:sz w:val="22"/>
          <w:szCs w:val="22"/>
          <w:lang w:val="en-US"/>
        </w:rPr>
        <w:t>completed in RAN1#107-e, and the paging enhancements include paging early indication (PEI) and subgroup indication</w:t>
      </w:r>
      <w:r w:rsidR="00FC1C85">
        <w:rPr>
          <w:sz w:val="22"/>
          <w:szCs w:val="22"/>
          <w:lang w:val="en-US"/>
        </w:rPr>
        <w:t xml:space="preserve"> have been specified</w:t>
      </w:r>
      <w:r>
        <w:rPr>
          <w:sz w:val="22"/>
          <w:szCs w:val="22"/>
          <w:lang w:val="en-US"/>
        </w:rPr>
        <w:t xml:space="preserve">. </w:t>
      </w:r>
      <w:r w:rsidR="00B706ED" w:rsidRPr="00112818">
        <w:rPr>
          <w:sz w:val="22"/>
          <w:szCs w:val="22"/>
        </w:rPr>
        <w:t xml:space="preserve">In this contribution, we </w:t>
      </w:r>
      <w:r w:rsidR="00963EF7">
        <w:rPr>
          <w:sz w:val="22"/>
          <w:szCs w:val="22"/>
        </w:rPr>
        <w:t xml:space="preserve">discuss some </w:t>
      </w:r>
      <w:r w:rsidR="009E1590">
        <w:rPr>
          <w:sz w:val="22"/>
          <w:szCs w:val="22"/>
        </w:rPr>
        <w:t>remaining</w:t>
      </w:r>
      <w:r w:rsidR="0087110D">
        <w:rPr>
          <w:sz w:val="22"/>
          <w:szCs w:val="22"/>
        </w:rPr>
        <w:t xml:space="preserve"> </w:t>
      </w:r>
      <w:r w:rsidR="009E1590">
        <w:rPr>
          <w:sz w:val="22"/>
          <w:szCs w:val="22"/>
        </w:rPr>
        <w:t>issues</w:t>
      </w:r>
      <w:r w:rsidR="00B706ED" w:rsidRPr="00112818">
        <w:rPr>
          <w:sz w:val="22"/>
          <w:szCs w:val="22"/>
        </w:rPr>
        <w:t>.</w:t>
      </w:r>
    </w:p>
    <w:p w14:paraId="638254AB" w14:textId="35409B4F" w:rsidR="00D101E5" w:rsidRDefault="00963EF7" w:rsidP="00255582">
      <w:pPr>
        <w:pStyle w:val="Heading1"/>
        <w:jc w:val="both"/>
      </w:pPr>
      <w:r>
        <w:t>PEI-to-PO mapping</w:t>
      </w:r>
    </w:p>
    <w:p w14:paraId="0A92F713" w14:textId="278582B8" w:rsidR="009A4843" w:rsidRPr="009A4843" w:rsidRDefault="009A4843" w:rsidP="009A4843">
      <w:pPr>
        <w:rPr>
          <w:sz w:val="22"/>
          <w:szCs w:val="22"/>
        </w:rPr>
      </w:pPr>
      <w:r>
        <w:rPr>
          <w:sz w:val="22"/>
          <w:szCs w:val="22"/>
        </w:rPr>
        <w:t xml:space="preserve">PEI-to-PO mapping was agreed </w:t>
      </w:r>
      <w:r w:rsidR="008A097D">
        <w:rPr>
          <w:sz w:val="22"/>
          <w:szCs w:val="22"/>
        </w:rPr>
        <w:t xml:space="preserve">as follows: </w:t>
      </w:r>
    </w:p>
    <w:p w14:paraId="3A72FCC5" w14:textId="77777777" w:rsidR="009A4843" w:rsidRPr="009A4843" w:rsidRDefault="009A4843" w:rsidP="009A4843">
      <w:pPr>
        <w:shd w:val="clear" w:color="auto" w:fill="FFFFFF"/>
        <w:ind w:left="576"/>
        <w:rPr>
          <w:rFonts w:eastAsia="Malgun Gothic"/>
          <w:sz w:val="18"/>
          <w:szCs w:val="18"/>
          <w:lang w:eastAsia="ko-KR"/>
        </w:rPr>
      </w:pPr>
      <w:r w:rsidRPr="009A4843">
        <w:rPr>
          <w:rFonts w:eastAsia="Malgun Gothic"/>
          <w:b/>
          <w:bCs/>
          <w:sz w:val="18"/>
          <w:szCs w:val="18"/>
          <w:shd w:val="clear" w:color="auto" w:fill="00FF00"/>
          <w:lang w:eastAsia="ko-KR"/>
        </w:rPr>
        <w:t>Agreement</w:t>
      </w:r>
    </w:p>
    <w:p w14:paraId="6857D274" w14:textId="77777777" w:rsidR="009A4843" w:rsidRPr="009A4843" w:rsidRDefault="009A4843" w:rsidP="009A4843">
      <w:pPr>
        <w:shd w:val="clear" w:color="auto" w:fill="FFFFFF"/>
        <w:ind w:left="576"/>
        <w:rPr>
          <w:rFonts w:eastAsia="Malgun Gothic"/>
          <w:sz w:val="18"/>
          <w:szCs w:val="18"/>
          <w:lang w:eastAsia="ko-KR"/>
        </w:rPr>
      </w:pPr>
      <w:r w:rsidRPr="009A4843">
        <w:rPr>
          <w:rFonts w:eastAsia="Malgun Gothic"/>
          <w:sz w:val="18"/>
          <w:szCs w:val="18"/>
          <w:shd w:val="clear" w:color="auto" w:fill="00FF00"/>
          <w:lang w:eastAsia="ko-KR"/>
        </w:rPr>
        <w:t>Confirm the following working assumption:</w:t>
      </w:r>
    </w:p>
    <w:p w14:paraId="0C319186" w14:textId="77777777" w:rsidR="009A4843" w:rsidRPr="009A4843" w:rsidRDefault="009A4843" w:rsidP="009A4843">
      <w:pPr>
        <w:shd w:val="clear" w:color="auto" w:fill="FFFFFF"/>
        <w:ind w:left="576"/>
        <w:rPr>
          <w:rFonts w:ascii="Calibri" w:eastAsia="SimSun" w:hAnsi="Calibri" w:cs="Calibri"/>
          <w:color w:val="000000"/>
          <w:sz w:val="18"/>
          <w:szCs w:val="18"/>
          <w:highlight w:val="darkYellow"/>
        </w:rPr>
      </w:pPr>
      <w:r w:rsidRPr="009A4843">
        <w:rPr>
          <w:rFonts w:eastAsia="SimSun"/>
          <w:b/>
          <w:bCs/>
          <w:color w:val="000000"/>
          <w:sz w:val="18"/>
          <w:szCs w:val="18"/>
          <w:highlight w:val="darkYellow"/>
          <w:shd w:val="clear" w:color="auto" w:fill="FFFF00"/>
        </w:rPr>
        <w:t>Working Assumption</w:t>
      </w:r>
    </w:p>
    <w:p w14:paraId="64A86BF0" w14:textId="77777777" w:rsidR="009A4843" w:rsidRPr="009A4843" w:rsidRDefault="009A4843" w:rsidP="009A4843">
      <w:pPr>
        <w:numPr>
          <w:ilvl w:val="0"/>
          <w:numId w:val="16"/>
        </w:numPr>
        <w:shd w:val="clear" w:color="auto" w:fill="FFFFFF"/>
        <w:tabs>
          <w:tab w:val="clear" w:pos="720"/>
          <w:tab w:val="num" w:pos="1296"/>
        </w:tabs>
        <w:spacing w:after="0"/>
        <w:ind w:left="129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The paging indication field </w:t>
      </w:r>
      <w:r w:rsidRPr="009A4843">
        <w:rPr>
          <w:rFonts w:eastAsia="Microsoft YaHei UI"/>
          <w:color w:val="FF0000"/>
          <w:sz w:val="18"/>
          <w:szCs w:val="18"/>
        </w:rPr>
        <w:t>of PEI DCI format </w:t>
      </w:r>
      <w:r w:rsidRPr="009A4843">
        <w:rPr>
          <w:rFonts w:eastAsia="Microsoft YaHei UI"/>
          <w:color w:val="000000"/>
          <w:sz w:val="18"/>
          <w:szCs w:val="18"/>
        </w:rPr>
        <w:t>comprises of </w:t>
      </w:r>
      <w:proofErr w:type="spellStart"/>
      <w:r w:rsidRPr="009A4843">
        <w:rPr>
          <w:rFonts w:eastAsia="Microsoft YaHei UI"/>
          <w:i/>
          <w:iCs/>
          <w:color w:val="000000"/>
          <w:sz w:val="18"/>
          <w:szCs w:val="18"/>
        </w:rPr>
        <w:t>POnumPerPEI</w:t>
      </w:r>
      <w:proofErr w:type="spellEnd"/>
      <w:r w:rsidRPr="009A4843">
        <w:rPr>
          <w:rFonts w:eastAsia="Microsoft YaHei UI"/>
          <w:color w:val="000000"/>
          <w:sz w:val="18"/>
          <w:szCs w:val="18"/>
        </w:rPr>
        <w:t> segment(s) of </w:t>
      </w:r>
      <w:r w:rsidRPr="009A4843">
        <w:rPr>
          <w:rFonts w:eastAsia="Microsoft YaHei UI"/>
          <w:i/>
          <w:iCs/>
          <w:color w:val="000000"/>
          <w:sz w:val="18"/>
          <w:szCs w:val="18"/>
        </w:rPr>
        <w:t>K</w:t>
      </w:r>
      <w:r w:rsidRPr="009A4843">
        <w:rPr>
          <w:rFonts w:eastAsia="Microsoft YaHei UI"/>
          <w:color w:val="000000"/>
          <w:sz w:val="18"/>
          <w:szCs w:val="18"/>
        </w:rPr>
        <w:t> bit</w:t>
      </w:r>
    </w:p>
    <w:p w14:paraId="2C41C11D" w14:textId="77777777" w:rsidR="009A4843" w:rsidRPr="009A4843" w:rsidRDefault="009A4843" w:rsidP="009A4843">
      <w:pPr>
        <w:numPr>
          <w:ilvl w:val="1"/>
          <w:numId w:val="16"/>
        </w:numPr>
        <w:shd w:val="clear" w:color="auto" w:fill="FFFFFF"/>
        <w:tabs>
          <w:tab w:val="clear" w:pos="1440"/>
          <w:tab w:val="num" w:pos="2016"/>
        </w:tabs>
        <w:spacing w:after="0"/>
        <w:ind w:left="201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i/>
          <w:iCs/>
          <w:sz w:val="18"/>
          <w:szCs w:val="18"/>
        </w:rPr>
        <w:t>K</w:t>
      </w:r>
      <w:r w:rsidRPr="009A4843">
        <w:rPr>
          <w:rFonts w:eastAsia="Microsoft YaHei UI"/>
          <w:sz w:val="18"/>
          <w:szCs w:val="18"/>
        </w:rPr>
        <w:t> = 1, if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"C:\\Users\\cmcc\\AppData\\Roaming\\Foxmail7\\Temp-16776-20211118202754\\Attach\\image037(11-18-20-31-35).png"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179E1509" wp14:editId="2699AB80">
            <wp:extent cx="1371600" cy="165100"/>
            <wp:effectExtent l="0" t="0" r="0" b="0"/>
            <wp:docPr id="189" name="Picture 1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sz w:val="18"/>
          <w:szCs w:val="18"/>
        </w:rPr>
        <w:t> is absent </w:t>
      </w:r>
      <w:r w:rsidRPr="009A4843">
        <w:rPr>
          <w:rFonts w:eastAsia="Microsoft YaHei UI"/>
          <w:color w:val="000000"/>
          <w:sz w:val="18"/>
          <w:szCs w:val="18"/>
        </w:rPr>
        <w:t>or set to 0 or 1,</w:t>
      </w:r>
    </w:p>
    <w:p w14:paraId="719A30BA" w14:textId="77777777" w:rsidR="009A4843" w:rsidRPr="009A4843" w:rsidRDefault="009A4843" w:rsidP="009A4843">
      <w:pPr>
        <w:numPr>
          <w:ilvl w:val="1"/>
          <w:numId w:val="16"/>
        </w:numPr>
        <w:shd w:val="clear" w:color="auto" w:fill="FFFFFF"/>
        <w:tabs>
          <w:tab w:val="clear" w:pos="1440"/>
          <w:tab w:val="num" w:pos="2016"/>
        </w:tabs>
        <w:spacing w:after="0"/>
        <w:ind w:left="201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i/>
          <w:iCs/>
          <w:color w:val="000000"/>
          <w:sz w:val="18"/>
          <w:szCs w:val="18"/>
        </w:rPr>
        <w:t>K</w:t>
      </w:r>
      <w:r w:rsidRPr="009A4843">
        <w:rPr>
          <w:rFonts w:eastAsia="Microsoft YaHei UI"/>
          <w:color w:val="000000"/>
          <w:sz w:val="18"/>
          <w:szCs w:val="18"/>
        </w:rPr>
        <w:t> =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"C:\\Users\\cmcc\\AppData\\Roaming\\Foxmail7\\Temp-16776-20211118202754\\Attach\\image037(11-18-20-31-35).png"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0550DF0" wp14:editId="0A04921F">
            <wp:extent cx="1371600" cy="165100"/>
            <wp:effectExtent l="0" t="0" r="0" b="0"/>
            <wp:docPr id="190" name="Picture 1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, if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"C:\\Users\\cmcc\\AppData\\Roaming\\Foxmail7\\Temp-16776-20211118202754\\Attach\\image038(11-18-20-31-35).png"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6C667252" wp14:editId="313CA36F">
            <wp:extent cx="1925955" cy="165100"/>
            <wp:effectExtent l="0" t="0" r="0" b="0"/>
            <wp:docPr id="191" name="Picture 1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is configured.</w:t>
      </w:r>
    </w:p>
    <w:p w14:paraId="434C3C71" w14:textId="77777777" w:rsidR="009A4843" w:rsidRPr="009A4843" w:rsidRDefault="009A4843" w:rsidP="009A4843">
      <w:pPr>
        <w:numPr>
          <w:ilvl w:val="1"/>
          <w:numId w:val="16"/>
        </w:numPr>
        <w:shd w:val="clear" w:color="auto" w:fill="FFFFFF"/>
        <w:tabs>
          <w:tab w:val="clear" w:pos="1440"/>
          <w:tab w:val="num" w:pos="2016"/>
        </w:tabs>
        <w:spacing w:after="0"/>
        <w:ind w:left="201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sz w:val="18"/>
          <w:szCs w:val="18"/>
        </w:rPr>
        <w:t>UE </w:t>
      </w:r>
      <w:r w:rsidRPr="009A4843">
        <w:rPr>
          <w:rFonts w:eastAsia="Microsoft YaHei UI"/>
          <w:color w:val="000000"/>
          <w:sz w:val="18"/>
          <w:szCs w:val="18"/>
        </w:rPr>
        <w:t>identifies its paging indication bit as follows:</w:t>
      </w:r>
    </w:p>
    <w:p w14:paraId="5EB7920A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Let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"C:\\Users\\cmcc\\AppData\\Roaming\\Foxmail7\\Temp-16776-20211118202754\\Attach\\image039(11-18-20-31-35).png"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E56A5AC" wp14:editId="5D1EBB35">
            <wp:extent cx="187325" cy="165100"/>
            <wp:effectExtent l="0" t="0" r="0" b="0"/>
            <wp:docPr id="192" name="Picture 1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denote the relative PO index, with starting value of 0, among the POs associated with the PEI</w:t>
      </w:r>
    </w:p>
    <w:p w14:paraId="436A856A" w14:textId="77777777" w:rsidR="009A4843" w:rsidRPr="009A4843" w:rsidRDefault="009A4843" w:rsidP="009A4843">
      <w:pPr>
        <w:numPr>
          <w:ilvl w:val="3"/>
          <w:numId w:val="16"/>
        </w:numPr>
        <w:shd w:val="clear" w:color="auto" w:fill="FFFFFF"/>
        <w:tabs>
          <w:tab w:val="clear" w:pos="2880"/>
          <w:tab w:val="num" w:pos="3456"/>
        </w:tabs>
        <w:spacing w:after="0"/>
        <w:ind w:left="345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"C:\\Users\\cmcc\\AppData\\Roaming\\Foxmail7\\Temp-16776-20211118202754\\Attach\\image040(11-18-20-31-35).png"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F00C6AD" wp14:editId="5BD2E6AA">
            <wp:extent cx="3237865" cy="187325"/>
            <wp:effectExtent l="0" t="0" r="0" b="0"/>
            <wp:docPr id="193" name="Picture 1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, where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"C:\\Users\\cmcc\\AppData\\Roaming\\Foxmail7\\Temp-16776-20211118202754\\Attach\\image041(11-18-20-31-35).png"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44E7DF80" wp14:editId="0E75FFE1">
            <wp:extent cx="1169035" cy="165100"/>
            <wp:effectExtent l="0" t="0" r="0" b="0"/>
            <wp:docPr id="194" name="Pictur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are as defined in clause 7 of TS 38.304</w:t>
      </w:r>
    </w:p>
    <w:p w14:paraId="688D100B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"C:\\Users\\cmcc\\AppData\\Roaming\\Foxmail7\\Temp-16776-20211118202754\\Attach\\image042(11-18-20-31-35).png"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5FE60E10" wp14:editId="17B665EA">
            <wp:extent cx="441960" cy="165100"/>
            <wp:effectExtent l="0" t="0" r="0" b="0"/>
            <wp:docPr id="195" name="Pictur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 xml:space="preserve"> when </w:t>
      </w:r>
      <w:r w:rsidRPr="009A4843">
        <w:rPr>
          <w:rFonts w:eastAsia="Microsoft YaHei UI"/>
          <w:i/>
          <w:iCs/>
          <w:sz w:val="18"/>
          <w:szCs w:val="18"/>
        </w:rPr>
        <w:t>K</w:t>
      </w:r>
      <w:r w:rsidRPr="009A4843">
        <w:rPr>
          <w:rFonts w:eastAsia="Microsoft YaHei UI"/>
          <w:sz w:val="18"/>
          <w:szCs w:val="18"/>
        </w:rPr>
        <w:t> = 1</w:t>
      </w:r>
      <w:r w:rsidRPr="009A4843">
        <w:rPr>
          <w:rFonts w:eastAsia="Microsoft YaHei UI"/>
          <w:color w:val="000000"/>
          <w:sz w:val="18"/>
          <w:szCs w:val="18"/>
        </w:rPr>
        <w:t xml:space="preserve"> </w:t>
      </w:r>
      <w:r w:rsidRPr="009A4843">
        <w:rPr>
          <w:rFonts w:eastAsia="Microsoft YaHei UI"/>
          <w:strike/>
          <w:color w:val="000000"/>
          <w:sz w:val="18"/>
          <w:szCs w:val="18"/>
        </w:rPr>
        <w:t>and UE is not provided a subgroup index</w:t>
      </w:r>
    </w:p>
    <w:p w14:paraId="06AD5C5A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"C:\\Users\\cmcc\\AppData\\Roaming\\Foxmail7\\Temp-16776-20211118202754\\Attach\\image043(11-18-20-31-35).png"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4B707D47" wp14:editId="3582DA45">
            <wp:extent cx="711835" cy="165100"/>
            <wp:effectExtent l="0" t="0" r="0" b="0"/>
            <wp:docPr id="196" name="Pictur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 when UE is provided a subgroup index</w:t>
      </w:r>
    </w:p>
    <w:p w14:paraId="43BCA0D1" w14:textId="77777777" w:rsidR="009A4843" w:rsidRPr="009A4843" w:rsidRDefault="009A4843" w:rsidP="009A4843">
      <w:pPr>
        <w:numPr>
          <w:ilvl w:val="2"/>
          <w:numId w:val="16"/>
        </w:numPr>
        <w:shd w:val="clear" w:color="auto" w:fill="FFFFFF"/>
        <w:tabs>
          <w:tab w:val="clear" w:pos="2160"/>
          <w:tab w:val="num" w:pos="2736"/>
        </w:tabs>
        <w:spacing w:after="0"/>
        <w:ind w:left="2736"/>
        <w:rPr>
          <w:rFonts w:ascii="Calibri" w:eastAsia="Microsoft YaHei UI" w:hAnsi="Calibri" w:cs="Calibr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UE checks the corresponding paging indication from </w: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"C:\\Users\\cmcc\\AppData\\Roaming\\Foxmail7\\Temp-16776-20211118202754\\Attach\\image044(11-18-20-31-35).png" \* MERGEFORMATINET </w:instrText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9A4843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77FC5BDC" wp14:editId="275CFC1D">
            <wp:extent cx="906780" cy="165100"/>
            <wp:effectExtent l="0" t="0" r="0" b="0"/>
            <wp:docPr id="197" name="Pictur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843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9A4843">
        <w:rPr>
          <w:rFonts w:eastAsia="Microsoft YaHei UI"/>
          <w:color w:val="000000"/>
          <w:sz w:val="18"/>
          <w:szCs w:val="18"/>
        </w:rPr>
        <w:t>-</w:t>
      </w:r>
      <w:proofErr w:type="spellStart"/>
      <w:r w:rsidRPr="009A4843">
        <w:rPr>
          <w:rFonts w:eastAsia="Microsoft YaHei UI"/>
          <w:color w:val="000000"/>
          <w:sz w:val="18"/>
          <w:szCs w:val="18"/>
        </w:rPr>
        <w:t>th</w:t>
      </w:r>
      <w:proofErr w:type="spellEnd"/>
      <w:r w:rsidRPr="009A4843">
        <w:rPr>
          <w:rFonts w:eastAsia="Microsoft YaHei UI"/>
          <w:color w:val="000000"/>
          <w:sz w:val="18"/>
          <w:szCs w:val="18"/>
        </w:rPr>
        <w:t xml:space="preserve"> b</w:t>
      </w:r>
      <w:proofErr w:type="spellStart"/>
      <w:r w:rsidRPr="009A4843">
        <w:rPr>
          <w:rFonts w:eastAsia="Microsoft YaHei UI"/>
          <w:color w:val="000000"/>
          <w:sz w:val="18"/>
          <w:szCs w:val="18"/>
        </w:rPr>
        <w:t>it</w:t>
      </w:r>
      <w:proofErr w:type="spellEnd"/>
      <w:r w:rsidRPr="009A4843">
        <w:rPr>
          <w:rFonts w:eastAsia="Microsoft YaHei UI"/>
          <w:color w:val="000000"/>
          <w:sz w:val="18"/>
          <w:szCs w:val="18"/>
        </w:rPr>
        <w:t xml:space="preserve"> of the paging indication field where the starting bit index is 0</w:t>
      </w:r>
    </w:p>
    <w:p w14:paraId="36724DA4" w14:textId="77777777" w:rsidR="009A4843" w:rsidRPr="009A4843" w:rsidRDefault="009A4843" w:rsidP="009A4843">
      <w:pPr>
        <w:numPr>
          <w:ilvl w:val="0"/>
          <w:numId w:val="16"/>
        </w:numPr>
        <w:shd w:val="clear" w:color="auto" w:fill="FFFFFF"/>
        <w:tabs>
          <w:tab w:val="clear" w:pos="720"/>
          <w:tab w:val="num" w:pos="1296"/>
        </w:tabs>
        <w:spacing w:after="0"/>
        <w:ind w:left="1296"/>
        <w:rPr>
          <w:rFonts w:eastAsia="Microsoft YaHei U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If the corresponding paging indication value is set to ‘1’, it indicates the UE to monitor the PO</w:t>
      </w:r>
    </w:p>
    <w:p w14:paraId="5A194CA4" w14:textId="77777777" w:rsidR="009A4843" w:rsidRPr="009A4843" w:rsidRDefault="009A4843" w:rsidP="009A4843">
      <w:pPr>
        <w:numPr>
          <w:ilvl w:val="0"/>
          <w:numId w:val="16"/>
        </w:numPr>
        <w:shd w:val="clear" w:color="auto" w:fill="FFFFFF"/>
        <w:tabs>
          <w:tab w:val="clear" w:pos="720"/>
          <w:tab w:val="num" w:pos="1296"/>
        </w:tabs>
        <w:spacing w:after="0"/>
        <w:ind w:left="1296"/>
        <w:rPr>
          <w:rFonts w:eastAsia="Microsoft YaHei UI"/>
          <w:color w:val="000000"/>
          <w:sz w:val="18"/>
          <w:szCs w:val="18"/>
        </w:rPr>
      </w:pPr>
      <w:r w:rsidRPr="009A4843">
        <w:rPr>
          <w:rFonts w:eastAsia="Microsoft YaHei UI"/>
          <w:color w:val="000000"/>
          <w:sz w:val="18"/>
          <w:szCs w:val="18"/>
        </w:rPr>
        <w:t>If the corresponding paging indication value is set to ‘0’, it indicates the UE is not required to monitor the PO</w:t>
      </w:r>
    </w:p>
    <w:p w14:paraId="569320BC" w14:textId="77777777" w:rsidR="008A097D" w:rsidRDefault="008A097D" w:rsidP="00974CFA">
      <w:pPr>
        <w:rPr>
          <w:sz w:val="22"/>
          <w:szCs w:val="22"/>
        </w:rPr>
      </w:pPr>
    </w:p>
    <w:p w14:paraId="516212AB" w14:textId="1C43D829" w:rsidR="009A4843" w:rsidRDefault="008A097D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It follows the definition of POs and essentially maps consecutive </w:t>
      </w:r>
      <w:proofErr w:type="spellStart"/>
      <w:r w:rsidRPr="008A097D">
        <w:rPr>
          <w:i/>
          <w:iCs/>
          <w:sz w:val="22"/>
          <w:szCs w:val="22"/>
        </w:rPr>
        <w:t>POnumPerPEI</w:t>
      </w:r>
      <w:proofErr w:type="spellEnd"/>
      <w:r>
        <w:rPr>
          <w:sz w:val="22"/>
          <w:szCs w:val="22"/>
        </w:rPr>
        <w:t xml:space="preserve"> POs to the same PEI.</w:t>
      </w:r>
      <w:r w:rsidR="00784EA3">
        <w:rPr>
          <w:sz w:val="22"/>
          <w:szCs w:val="22"/>
        </w:rPr>
        <w:t xml:space="preserve"> It works perfectly if all the UEs have the same DRX cycle. However, if the UEs have different DRX cycle, this results in </w:t>
      </w:r>
      <w:r w:rsidR="00F2022C">
        <w:rPr>
          <w:sz w:val="22"/>
          <w:szCs w:val="22"/>
        </w:rPr>
        <w:t>some undesirable mapping as shown in Figure 1.</w:t>
      </w:r>
      <w:r w:rsidR="00CD66FD">
        <w:rPr>
          <w:sz w:val="22"/>
          <w:szCs w:val="22"/>
        </w:rPr>
        <w:t xml:space="preserve"> Each UE determines the PEI-to-PO mapping based on its own DRX cycle, which leads to different mapping for UEs with different DRX cycles.</w:t>
      </w:r>
    </w:p>
    <w:p w14:paraId="706A6410" w14:textId="1C1EDF74" w:rsidR="00F2022C" w:rsidRDefault="00F2022C" w:rsidP="00974CFA">
      <w:pPr>
        <w:rPr>
          <w:sz w:val="22"/>
          <w:szCs w:val="22"/>
        </w:rPr>
      </w:pPr>
      <w:r w:rsidRPr="00F2022C">
        <w:rPr>
          <w:noProof/>
          <w:sz w:val="22"/>
          <w:szCs w:val="22"/>
        </w:rPr>
        <w:lastRenderedPageBreak/>
        <w:drawing>
          <wp:inline distT="0" distB="0" distL="0" distR="0" wp14:anchorId="676F2175" wp14:editId="05D23F3C">
            <wp:extent cx="5727700" cy="1464945"/>
            <wp:effectExtent l="0" t="0" r="0" b="0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717FB" w14:textId="544CB0F2" w:rsidR="008A097D" w:rsidRPr="00DE509F" w:rsidRDefault="00DE509F" w:rsidP="00DE509F">
      <w:pPr>
        <w:pStyle w:val="Caption"/>
        <w:rPr>
          <w:sz w:val="21"/>
          <w:szCs w:val="21"/>
        </w:rPr>
      </w:pPr>
      <w:r w:rsidRPr="00DE509F">
        <w:rPr>
          <w:sz w:val="22"/>
          <w:szCs w:val="22"/>
        </w:rPr>
        <w:t xml:space="preserve">Figure </w:t>
      </w:r>
      <w:r w:rsidRPr="00DE509F">
        <w:rPr>
          <w:sz w:val="22"/>
          <w:szCs w:val="22"/>
        </w:rPr>
        <w:fldChar w:fldCharType="begin"/>
      </w:r>
      <w:r w:rsidRPr="00DE509F">
        <w:rPr>
          <w:sz w:val="22"/>
          <w:szCs w:val="22"/>
        </w:rPr>
        <w:instrText xml:space="preserve"> SEQ Figure \* ARABIC </w:instrText>
      </w:r>
      <w:r w:rsidRPr="00DE509F">
        <w:rPr>
          <w:sz w:val="22"/>
          <w:szCs w:val="22"/>
        </w:rPr>
        <w:fldChar w:fldCharType="separate"/>
      </w:r>
      <w:r w:rsidRPr="00DE509F">
        <w:rPr>
          <w:noProof/>
          <w:sz w:val="22"/>
          <w:szCs w:val="22"/>
        </w:rPr>
        <w:t>1</w:t>
      </w:r>
      <w:r w:rsidRPr="00DE509F">
        <w:rPr>
          <w:sz w:val="22"/>
          <w:szCs w:val="22"/>
        </w:rPr>
        <w:fldChar w:fldCharType="end"/>
      </w:r>
      <w:r w:rsidRPr="00DE509F">
        <w:rPr>
          <w:sz w:val="22"/>
          <w:szCs w:val="22"/>
        </w:rPr>
        <w:t xml:space="preserve"> PEI-to-PO mapping for UEs with different DRX cycles</w:t>
      </w:r>
    </w:p>
    <w:p w14:paraId="64D46C12" w14:textId="0CC9B95F" w:rsidR="00CD66FD" w:rsidRPr="00CD66FD" w:rsidRDefault="00D62E1F" w:rsidP="00CD66FD">
      <w:pPr>
        <w:rPr>
          <w:sz w:val="22"/>
          <w:szCs w:val="22"/>
        </w:rPr>
      </w:pPr>
      <w:r>
        <w:rPr>
          <w:sz w:val="22"/>
          <w:szCs w:val="22"/>
        </w:rPr>
        <w:t xml:space="preserve">As shown in the figure, </w:t>
      </w:r>
      <w:r w:rsidR="00CD66FD" w:rsidRPr="00CD66FD">
        <w:rPr>
          <w:sz w:val="22"/>
          <w:szCs w:val="22"/>
        </w:rPr>
        <w:t>the PEI bits for the 1st PF maps to the same PF</w:t>
      </w:r>
      <w:r>
        <w:rPr>
          <w:sz w:val="22"/>
          <w:szCs w:val="22"/>
        </w:rPr>
        <w:t>,</w:t>
      </w:r>
      <w:r w:rsidR="00CD66FD" w:rsidRPr="00CD66FD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="00CD66FD" w:rsidRPr="00CD66FD">
        <w:rPr>
          <w:sz w:val="22"/>
          <w:szCs w:val="22"/>
        </w:rPr>
        <w:t>ut the PEI bits for the 2nd PF maps to different PFs for UEs with different DRX cycles.</w:t>
      </w:r>
      <w:r>
        <w:rPr>
          <w:sz w:val="22"/>
          <w:szCs w:val="22"/>
        </w:rPr>
        <w:t xml:space="preserve"> The main disadvantages of such a mapping include:</w:t>
      </w:r>
    </w:p>
    <w:p w14:paraId="4442E29A" w14:textId="77777777" w:rsidR="00CD66FD" w:rsidRPr="00D62E1F" w:rsidRDefault="00CD66FD" w:rsidP="00D62E1F">
      <w:pPr>
        <w:pStyle w:val="ListParagraph"/>
        <w:numPr>
          <w:ilvl w:val="0"/>
          <w:numId w:val="17"/>
        </w:numPr>
        <w:ind w:leftChars="0"/>
        <w:rPr>
          <w:sz w:val="22"/>
          <w:szCs w:val="22"/>
        </w:rPr>
      </w:pPr>
      <w:r w:rsidRPr="00D62E1F">
        <w:rPr>
          <w:sz w:val="22"/>
          <w:szCs w:val="22"/>
        </w:rPr>
        <w:t xml:space="preserve">From network perspective, this means 1 PEI </w:t>
      </w:r>
      <w:proofErr w:type="gramStart"/>
      <w:r w:rsidRPr="00D62E1F">
        <w:rPr>
          <w:sz w:val="22"/>
          <w:szCs w:val="22"/>
        </w:rPr>
        <w:t>actually maps</w:t>
      </w:r>
      <w:proofErr w:type="gramEnd"/>
      <w:r w:rsidRPr="00D62E1F">
        <w:rPr>
          <w:sz w:val="22"/>
          <w:szCs w:val="22"/>
        </w:rPr>
        <w:t xml:space="preserve"> to more than 2 PFs, which is against the original intention of limiting to 2 PFs only.</w:t>
      </w:r>
    </w:p>
    <w:p w14:paraId="54FC15A5" w14:textId="54DCC26B" w:rsidR="00CD66FD" w:rsidRPr="00D62E1F" w:rsidRDefault="00CD66FD" w:rsidP="00D62E1F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 w:rsidRPr="00D62E1F">
        <w:rPr>
          <w:sz w:val="22"/>
          <w:szCs w:val="22"/>
        </w:rPr>
        <w:t xml:space="preserve">It is </w:t>
      </w:r>
      <w:r w:rsidR="000379D0">
        <w:rPr>
          <w:sz w:val="22"/>
          <w:szCs w:val="22"/>
        </w:rPr>
        <w:t xml:space="preserve">more </w:t>
      </w:r>
      <w:r w:rsidRPr="00D62E1F">
        <w:rPr>
          <w:sz w:val="22"/>
          <w:szCs w:val="22"/>
        </w:rPr>
        <w:t xml:space="preserve">complicated for the network to </w:t>
      </w:r>
      <w:proofErr w:type="gramStart"/>
      <w:r w:rsidRPr="00D62E1F">
        <w:rPr>
          <w:sz w:val="22"/>
          <w:szCs w:val="22"/>
        </w:rPr>
        <w:t>manage, because</w:t>
      </w:r>
      <w:proofErr w:type="gramEnd"/>
      <w:r w:rsidRPr="00D62E1F">
        <w:rPr>
          <w:sz w:val="22"/>
          <w:szCs w:val="22"/>
        </w:rPr>
        <w:t xml:space="preserve"> the network needs to consider UEs in more than 2 PFs. </w:t>
      </w:r>
      <w:proofErr w:type="gramStart"/>
      <w:r w:rsidRPr="00D62E1F">
        <w:rPr>
          <w:sz w:val="22"/>
          <w:szCs w:val="22"/>
        </w:rPr>
        <w:t>Also</w:t>
      </w:r>
      <w:proofErr w:type="gramEnd"/>
      <w:r w:rsidRPr="00D62E1F">
        <w:rPr>
          <w:sz w:val="22"/>
          <w:szCs w:val="22"/>
        </w:rPr>
        <w:t xml:space="preserve"> for some of the PFs, it should consider UEs with certain DRX cycle only, not all the UEs corresponding to that PF.</w:t>
      </w:r>
    </w:p>
    <w:p w14:paraId="65D743C4" w14:textId="77777777" w:rsidR="00CD66FD" w:rsidRPr="00D62E1F" w:rsidRDefault="00CD66FD" w:rsidP="00D62E1F">
      <w:pPr>
        <w:pStyle w:val="ListParagraph"/>
        <w:numPr>
          <w:ilvl w:val="0"/>
          <w:numId w:val="17"/>
        </w:numPr>
        <w:ind w:leftChars="0"/>
        <w:rPr>
          <w:sz w:val="22"/>
          <w:szCs w:val="22"/>
        </w:rPr>
      </w:pPr>
      <w:r w:rsidRPr="00D62E1F">
        <w:rPr>
          <w:sz w:val="22"/>
          <w:szCs w:val="22"/>
        </w:rPr>
        <w:t>For UEs with larger DRX cycle, the time gap between PEI and some of the PFs can be quite large.</w:t>
      </w:r>
    </w:p>
    <w:p w14:paraId="0E4F9477" w14:textId="77777777" w:rsidR="00CD66FD" w:rsidRPr="00D62E1F" w:rsidRDefault="00CD66FD" w:rsidP="000379D0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 w:rsidRPr="00D62E1F">
        <w:rPr>
          <w:sz w:val="22"/>
          <w:szCs w:val="22"/>
        </w:rPr>
        <w:t>This means large additional paging latency for UEs corresponding to these PFs.</w:t>
      </w:r>
    </w:p>
    <w:p w14:paraId="1DFF600A" w14:textId="77777777" w:rsidR="00CD66FD" w:rsidRPr="00D62E1F" w:rsidRDefault="00CD66FD" w:rsidP="000379D0">
      <w:pPr>
        <w:pStyle w:val="ListParagraph"/>
        <w:numPr>
          <w:ilvl w:val="2"/>
          <w:numId w:val="17"/>
        </w:numPr>
        <w:ind w:leftChars="0"/>
        <w:rPr>
          <w:sz w:val="22"/>
          <w:szCs w:val="22"/>
        </w:rPr>
      </w:pPr>
      <w:proofErr w:type="gramStart"/>
      <w:r w:rsidRPr="00D62E1F">
        <w:rPr>
          <w:sz w:val="22"/>
          <w:szCs w:val="22"/>
        </w:rPr>
        <w:t>E.g.</w:t>
      </w:r>
      <w:proofErr w:type="gramEnd"/>
      <w:r w:rsidRPr="00D62E1F">
        <w:rPr>
          <w:sz w:val="22"/>
          <w:szCs w:val="22"/>
        </w:rPr>
        <w:t xml:space="preserve"> For UEs with 1.28sec DRX cycle, the additional paging delay is 0.64 sec for UEs with POs in the 2nd PF.</w:t>
      </w:r>
    </w:p>
    <w:p w14:paraId="795A4BB7" w14:textId="69142C0F" w:rsidR="00DE509F" w:rsidRPr="00D62E1F" w:rsidRDefault="00CD66FD" w:rsidP="000379D0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 w:rsidRPr="00D62E1F">
        <w:rPr>
          <w:sz w:val="22"/>
          <w:szCs w:val="22"/>
        </w:rPr>
        <w:t>When the gap between PEI and PF is too large, the UE may need to perform additional time/frequency tracking before PO detection, which may consume more UE power.</w:t>
      </w:r>
    </w:p>
    <w:p w14:paraId="16D7B153" w14:textId="2E010142" w:rsidR="00B306D2" w:rsidRDefault="00B22788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We should address these issues </w:t>
      </w:r>
      <w:r w:rsidR="00DE1CD6">
        <w:rPr>
          <w:sz w:val="22"/>
          <w:szCs w:val="22"/>
        </w:rPr>
        <w:t xml:space="preserve">caused by different DRX cycles, </w:t>
      </w:r>
      <w:r>
        <w:rPr>
          <w:sz w:val="22"/>
          <w:szCs w:val="22"/>
        </w:rPr>
        <w:t xml:space="preserve">which was </w:t>
      </w:r>
      <w:r w:rsidR="00DE1CD6">
        <w:rPr>
          <w:sz w:val="22"/>
          <w:szCs w:val="22"/>
        </w:rPr>
        <w:t>not considered</w:t>
      </w:r>
      <w:r>
        <w:rPr>
          <w:sz w:val="22"/>
          <w:szCs w:val="22"/>
        </w:rPr>
        <w:t xml:space="preserve"> when the agreement</w:t>
      </w:r>
      <w:r w:rsidR="00DE1CD6">
        <w:rPr>
          <w:sz w:val="22"/>
          <w:szCs w:val="22"/>
        </w:rPr>
        <w:t xml:space="preserve"> was made. This can be fixed </w:t>
      </w:r>
      <w:r w:rsidR="00C03C6B">
        <w:rPr>
          <w:sz w:val="22"/>
          <w:szCs w:val="22"/>
        </w:rPr>
        <w:t>easily, by determining the PEI-to-PO mapping based on the smallest DRX cycle in the system. For the same example, the mapping is shown in Figure 2.</w:t>
      </w:r>
      <w:r w:rsidR="00DC4BBF">
        <w:rPr>
          <w:sz w:val="22"/>
          <w:szCs w:val="22"/>
        </w:rPr>
        <w:t xml:space="preserve"> This results in a very clean mapping, which avoids the shortcomings </w:t>
      </w:r>
      <w:r w:rsidR="00DD21EE">
        <w:rPr>
          <w:sz w:val="22"/>
          <w:szCs w:val="22"/>
        </w:rPr>
        <w:t>of the mapping in Figure 1.</w:t>
      </w:r>
    </w:p>
    <w:p w14:paraId="43A66A55" w14:textId="1451514F" w:rsidR="00DE1CD6" w:rsidRDefault="00DE1CD6" w:rsidP="00974CFA">
      <w:pPr>
        <w:rPr>
          <w:sz w:val="22"/>
          <w:szCs w:val="22"/>
        </w:rPr>
      </w:pPr>
      <w:r w:rsidRPr="00DE1CD6">
        <w:rPr>
          <w:noProof/>
          <w:sz w:val="22"/>
          <w:szCs w:val="22"/>
        </w:rPr>
        <w:drawing>
          <wp:inline distT="0" distB="0" distL="0" distR="0" wp14:anchorId="12F41335" wp14:editId="10C34E3D">
            <wp:extent cx="5727700" cy="1458595"/>
            <wp:effectExtent l="0" t="0" r="0" b="1905"/>
            <wp:docPr id="3" name="Picture 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5E50" w14:textId="6F6EADEF" w:rsidR="00DE1CD6" w:rsidRPr="00DE509F" w:rsidRDefault="00DE1CD6" w:rsidP="00DE1CD6">
      <w:pPr>
        <w:pStyle w:val="Caption"/>
        <w:rPr>
          <w:sz w:val="21"/>
          <w:szCs w:val="21"/>
        </w:rPr>
      </w:pPr>
      <w:r w:rsidRPr="00DE509F">
        <w:rPr>
          <w:sz w:val="22"/>
          <w:szCs w:val="22"/>
        </w:rPr>
        <w:t xml:space="preserve">Figure </w:t>
      </w:r>
      <w:r w:rsidRPr="00DE509F">
        <w:rPr>
          <w:sz w:val="22"/>
          <w:szCs w:val="22"/>
        </w:rPr>
        <w:fldChar w:fldCharType="begin"/>
      </w:r>
      <w:r w:rsidRPr="00DE509F">
        <w:rPr>
          <w:sz w:val="22"/>
          <w:szCs w:val="22"/>
        </w:rPr>
        <w:instrText xml:space="preserve"> SEQ Figure \* ARABIC </w:instrText>
      </w:r>
      <w:r w:rsidRPr="00DE509F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DE509F">
        <w:rPr>
          <w:sz w:val="22"/>
          <w:szCs w:val="22"/>
        </w:rPr>
        <w:fldChar w:fldCharType="end"/>
      </w:r>
      <w:r w:rsidRPr="00DE50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Proposed </w:t>
      </w:r>
      <w:r w:rsidRPr="00DE509F">
        <w:rPr>
          <w:sz w:val="22"/>
          <w:szCs w:val="22"/>
        </w:rPr>
        <w:t>PEI-to-PO mapping for UEs with different DRX cycles</w:t>
      </w:r>
    </w:p>
    <w:p w14:paraId="0EA8FBD3" w14:textId="5BEC7674" w:rsidR="00DE1CD6" w:rsidRDefault="00DD21EE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The smallest DRX cycle is not </w:t>
      </w:r>
      <w:r w:rsidR="003331BC">
        <w:rPr>
          <w:sz w:val="22"/>
          <w:szCs w:val="22"/>
        </w:rPr>
        <w:t xml:space="preserve">known to the UEs, so this needs to be signaled/broadcast to the UEs. It is the </w:t>
      </w:r>
      <w:proofErr w:type="spellStart"/>
      <w:r w:rsidR="003331BC">
        <w:rPr>
          <w:sz w:val="22"/>
          <w:szCs w:val="22"/>
        </w:rPr>
        <w:t>gNB’s</w:t>
      </w:r>
      <w:proofErr w:type="spellEnd"/>
      <w:r w:rsidR="003331BC">
        <w:rPr>
          <w:sz w:val="22"/>
          <w:szCs w:val="22"/>
        </w:rPr>
        <w:t xml:space="preserve"> responsibility to guarantee that this is indeed the smallest DRX cycle.</w:t>
      </w:r>
    </w:p>
    <w:p w14:paraId="03C18A5F" w14:textId="64BC3B8B" w:rsidR="004F04B0" w:rsidRPr="00FE659A" w:rsidRDefault="004F04B0" w:rsidP="00EF4A62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1: </w:t>
      </w:r>
      <w:r w:rsidR="00EF4A62">
        <w:rPr>
          <w:b/>
          <w:bCs/>
          <w:sz w:val="22"/>
          <w:szCs w:val="22"/>
        </w:rPr>
        <w:t>A</w:t>
      </w:r>
      <w:r w:rsidR="00EF4A62" w:rsidRPr="00EF4A62">
        <w:rPr>
          <w:b/>
          <w:bCs/>
          <w:sz w:val="22"/>
          <w:szCs w:val="22"/>
        </w:rPr>
        <w:t>ll the UEs in a cell determine the mapping of PEI to POs/PFs based on a reference DRX cycle</w:t>
      </w:r>
      <w:r w:rsidR="00EF4A62">
        <w:rPr>
          <w:b/>
          <w:bCs/>
          <w:sz w:val="22"/>
          <w:szCs w:val="22"/>
        </w:rPr>
        <w:t>, which</w:t>
      </w:r>
      <w:r w:rsidR="00EF4A62" w:rsidRPr="00EF4A62">
        <w:rPr>
          <w:b/>
          <w:bCs/>
          <w:sz w:val="22"/>
          <w:szCs w:val="22"/>
        </w:rPr>
        <w:t xml:space="preserve"> is signaled by the </w:t>
      </w:r>
      <w:proofErr w:type="spellStart"/>
      <w:r w:rsidR="00EF4A62" w:rsidRPr="00EF4A62">
        <w:rPr>
          <w:b/>
          <w:bCs/>
          <w:sz w:val="22"/>
          <w:szCs w:val="22"/>
        </w:rPr>
        <w:t>gNB</w:t>
      </w:r>
      <w:proofErr w:type="spellEnd"/>
      <w:r w:rsidR="00EF4A62" w:rsidRPr="00EF4A62">
        <w:rPr>
          <w:b/>
          <w:bCs/>
          <w:sz w:val="22"/>
          <w:szCs w:val="22"/>
        </w:rPr>
        <w:t xml:space="preserve"> in SIB. The </w:t>
      </w:r>
      <w:proofErr w:type="spellStart"/>
      <w:r w:rsidR="00EF4A62" w:rsidRPr="00EF4A62">
        <w:rPr>
          <w:b/>
          <w:bCs/>
          <w:sz w:val="22"/>
          <w:szCs w:val="22"/>
        </w:rPr>
        <w:t>gNB</w:t>
      </w:r>
      <w:proofErr w:type="spellEnd"/>
      <w:r w:rsidR="00EF4A62" w:rsidRPr="00EF4A62">
        <w:rPr>
          <w:b/>
          <w:bCs/>
          <w:sz w:val="22"/>
          <w:szCs w:val="22"/>
        </w:rPr>
        <w:t xml:space="preserve"> shall guarantee that the DRX cycle of any UE is not smaller than the reference DRX cycle.</w:t>
      </w:r>
    </w:p>
    <w:p w14:paraId="0E46CE25" w14:textId="7370922B" w:rsidR="00BE5537" w:rsidRDefault="00F914A8" w:rsidP="00255582">
      <w:pPr>
        <w:pStyle w:val="Heading1"/>
        <w:jc w:val="both"/>
      </w:pPr>
      <w:r>
        <w:rPr>
          <w:rFonts w:hint="eastAsia"/>
        </w:rPr>
        <w:lastRenderedPageBreak/>
        <w:t>UE</w:t>
      </w:r>
      <w:r>
        <w:t>s without subgrouping</w:t>
      </w:r>
    </w:p>
    <w:p w14:paraId="245677B2" w14:textId="2C66397B" w:rsidR="009C2D85" w:rsidRDefault="007D723C" w:rsidP="00974CFA">
      <w:pPr>
        <w:rPr>
          <w:sz w:val="22"/>
          <w:szCs w:val="22"/>
        </w:rPr>
      </w:pPr>
      <w:r>
        <w:rPr>
          <w:sz w:val="22"/>
          <w:szCs w:val="22"/>
        </w:rPr>
        <w:t>The PEI field is defined as follows:</w:t>
      </w:r>
    </w:p>
    <w:p w14:paraId="4A18EAFF" w14:textId="77777777" w:rsidR="007D723C" w:rsidRPr="007D723C" w:rsidRDefault="007D723C" w:rsidP="007D723C">
      <w:pPr>
        <w:shd w:val="clear" w:color="auto" w:fill="FFFFFF"/>
        <w:spacing w:after="0"/>
        <w:ind w:left="720"/>
        <w:rPr>
          <w:rFonts w:ascii="Calibri" w:eastAsia="SimSun" w:hAnsi="Calibri" w:cs="Calibri"/>
          <w:color w:val="000000"/>
          <w:sz w:val="18"/>
          <w:szCs w:val="18"/>
          <w:highlight w:val="green"/>
        </w:rPr>
      </w:pPr>
      <w:r w:rsidRPr="007D723C">
        <w:rPr>
          <w:rFonts w:eastAsia="SimSun"/>
          <w:b/>
          <w:bCs/>
          <w:color w:val="000000"/>
          <w:sz w:val="18"/>
          <w:szCs w:val="18"/>
          <w:highlight w:val="green"/>
          <w:shd w:val="clear" w:color="auto" w:fill="FFFF00"/>
          <w:lang w:val="en-GB"/>
        </w:rPr>
        <w:t>Agreement</w:t>
      </w:r>
    </w:p>
    <w:p w14:paraId="38FC250F" w14:textId="77777777" w:rsidR="007D723C" w:rsidRPr="007D723C" w:rsidRDefault="007D723C" w:rsidP="007D723C">
      <w:pPr>
        <w:shd w:val="clear" w:color="auto" w:fill="FFFFFF"/>
        <w:spacing w:after="0"/>
        <w:ind w:left="720"/>
        <w:rPr>
          <w:rFonts w:ascii="Calibri" w:eastAsia="SimSun" w:hAnsi="Calibri" w:cs="Calibri"/>
          <w:color w:val="000000"/>
          <w:sz w:val="18"/>
          <w:szCs w:val="18"/>
        </w:rPr>
      </w:pPr>
      <w:r w:rsidRPr="007D723C">
        <w:rPr>
          <w:rFonts w:eastAsia="SimSun"/>
          <w:color w:val="000000"/>
          <w:sz w:val="18"/>
          <w:szCs w:val="18"/>
          <w:lang w:val="en-GB"/>
        </w:rPr>
        <w:t>For PEI DCI format, defined as DCI format 2_7,</w:t>
      </w:r>
    </w:p>
    <w:p w14:paraId="3C2683EB" w14:textId="77777777" w:rsidR="007D723C" w:rsidRPr="007D723C" w:rsidRDefault="007D723C" w:rsidP="007D723C">
      <w:pPr>
        <w:numPr>
          <w:ilvl w:val="0"/>
          <w:numId w:val="18"/>
        </w:numPr>
        <w:shd w:val="clear" w:color="auto" w:fill="FFFFFF"/>
        <w:tabs>
          <w:tab w:val="clear" w:pos="720"/>
          <w:tab w:val="num" w:pos="1440"/>
        </w:tabs>
        <w:spacing w:after="0"/>
        <w:ind w:left="1440"/>
        <w:rPr>
          <w:rFonts w:ascii="Calibri" w:eastAsia="Microsoft YaHei UI" w:hAnsi="Calibri" w:cs="Calibri"/>
          <w:color w:val="000000"/>
          <w:sz w:val="18"/>
          <w:szCs w:val="18"/>
        </w:rPr>
      </w:pPr>
      <w:r w:rsidRPr="007D723C">
        <w:rPr>
          <w:rFonts w:eastAsia="Microsoft YaHei UI"/>
          <w:color w:val="000000"/>
          <w:sz w:val="18"/>
          <w:szCs w:val="18"/>
        </w:rPr>
        <w:t>Total number of bits for paging indication filed is </w:t>
      </w:r>
      <w:proofErr w:type="spellStart"/>
      <w:r w:rsidRPr="007D723C">
        <w:rPr>
          <w:rFonts w:eastAsia="Microsoft YaHei UI"/>
          <w:i/>
          <w:iCs/>
          <w:color w:val="000000"/>
          <w:sz w:val="18"/>
          <w:szCs w:val="18"/>
        </w:rPr>
        <w:t>POnumPerPEI</w:t>
      </w:r>
      <w:proofErr w:type="spellEnd"/>
      <w:r w:rsidRPr="007D723C">
        <w:rPr>
          <w:rFonts w:eastAsia="Microsoft YaHei UI"/>
          <w:color w:val="000000"/>
          <w:sz w:val="18"/>
          <w:szCs w:val="18"/>
        </w:rPr>
        <w:t>, if </w: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"C:\\Users\\cmcc\\AppData\\Roaming\\Foxmail7\\Temp-16776-20211118202754\\Attach\\image037(11-18-20-31-35).png" \* MERGEFORMATINET </w:instrTex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7D723C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06049A46" wp14:editId="799F1DCF">
            <wp:extent cx="1371600" cy="165100"/>
            <wp:effectExtent l="0" t="0" r="0" b="0"/>
            <wp:docPr id="198" name="Pictur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7D723C">
        <w:rPr>
          <w:rFonts w:eastAsia="Microsoft YaHei UI"/>
          <w:color w:val="000000"/>
          <w:sz w:val="18"/>
          <w:szCs w:val="18"/>
        </w:rPr>
        <w:t> is absent or set to 0 or 1, and </w:t>
      </w:r>
      <w:r w:rsidRPr="007D723C">
        <w:rPr>
          <w:rFonts w:eastAsia="Microsoft YaHei UI"/>
          <w:color w:val="FF0000"/>
          <w:sz w:val="18"/>
          <w:szCs w:val="18"/>
        </w:rPr>
        <w:t>the number is</w:t>
      </w:r>
      <w:r w:rsidRPr="007D723C">
        <w:rPr>
          <w:rFonts w:eastAsia="Microsoft YaHei UI"/>
          <w:color w:val="000000"/>
          <w:sz w:val="18"/>
          <w:szCs w:val="18"/>
        </w:rPr>
        <w:t> </w: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"C:\\Users\\cmcc\\AppData\\Roaming\\Foxmail7\\Temp-16776-20211118202754\\Attach\\image045(11-18-20-31-35).png" \* MERGEFORMATINET </w:instrTex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7D723C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684778BF" wp14:editId="18F01C9E">
            <wp:extent cx="2571115" cy="165100"/>
            <wp:effectExtent l="0" t="0" r="0" b="0"/>
            <wp:docPr id="199" name="Picture 1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7D723C">
        <w:rPr>
          <w:rFonts w:eastAsia="Microsoft YaHei UI"/>
          <w:color w:val="000000"/>
          <w:sz w:val="18"/>
          <w:szCs w:val="18"/>
        </w:rPr>
        <w:t>, if </w: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begin"/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instrText xml:space="preserve"> INCLUDEPICTURE "C:\\Users\\cmcc\\AppData\\Roaming\\Foxmail7\\Temp-16776-20211118202754\\Attach\\image046(11-18-20-31-35).png" \* MERGEFORMATINET </w:instrText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separate"/>
      </w:r>
      <w:r w:rsidRPr="007D723C">
        <w:rPr>
          <w:rFonts w:ascii="Calibri" w:eastAsia="Microsoft YaHei UI" w:hAnsi="Calibri" w:cs="Calibri"/>
          <w:noProof/>
          <w:color w:val="000000"/>
          <w:sz w:val="18"/>
          <w:szCs w:val="18"/>
        </w:rPr>
        <w:drawing>
          <wp:inline distT="0" distB="0" distL="0" distR="0" wp14:anchorId="4E869C16" wp14:editId="1D1EC4CC">
            <wp:extent cx="1896110" cy="165100"/>
            <wp:effectExtent l="0" t="0" r="0" b="0"/>
            <wp:docPr id="200" name="Picture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23C">
        <w:rPr>
          <w:rFonts w:ascii="Calibri" w:eastAsia="Microsoft YaHei UI" w:hAnsi="Calibri" w:cs="Calibri"/>
          <w:color w:val="000000"/>
          <w:sz w:val="18"/>
          <w:szCs w:val="18"/>
        </w:rPr>
        <w:fldChar w:fldCharType="end"/>
      </w:r>
      <w:r w:rsidRPr="007D723C">
        <w:rPr>
          <w:rFonts w:eastAsia="Microsoft YaHei UI"/>
          <w:color w:val="000000"/>
          <w:sz w:val="18"/>
          <w:szCs w:val="18"/>
        </w:rPr>
        <w:t> is configured.</w:t>
      </w:r>
    </w:p>
    <w:p w14:paraId="2C9FB58D" w14:textId="77777777" w:rsidR="007D723C" w:rsidRPr="007D723C" w:rsidRDefault="007D723C" w:rsidP="007D723C">
      <w:pPr>
        <w:numPr>
          <w:ilvl w:val="1"/>
          <w:numId w:val="18"/>
        </w:numPr>
        <w:shd w:val="clear" w:color="auto" w:fill="FFFFFF"/>
        <w:tabs>
          <w:tab w:val="clear" w:pos="1440"/>
          <w:tab w:val="num" w:pos="2160"/>
        </w:tabs>
        <w:spacing w:after="0"/>
        <w:ind w:left="2160"/>
        <w:rPr>
          <w:rFonts w:ascii="Calibri" w:eastAsia="Microsoft YaHei UI" w:hAnsi="Calibri" w:cs="Calibri"/>
          <w:color w:val="000000"/>
          <w:sz w:val="22"/>
          <w:szCs w:val="22"/>
        </w:rPr>
      </w:pPr>
      <w:r w:rsidRPr="007D723C">
        <w:rPr>
          <w:rFonts w:eastAsia="Microsoft YaHei UI"/>
          <w:color w:val="000000"/>
          <w:sz w:val="18"/>
          <w:szCs w:val="18"/>
        </w:rPr>
        <w:t>For Rel-17, UE does not expect paging indication filed size is larger than the DCI payload size</w:t>
      </w:r>
    </w:p>
    <w:p w14:paraId="2FEBE750" w14:textId="77777777" w:rsidR="007D723C" w:rsidRDefault="007D723C" w:rsidP="00974CFA">
      <w:pPr>
        <w:rPr>
          <w:sz w:val="22"/>
          <w:szCs w:val="22"/>
        </w:rPr>
      </w:pPr>
    </w:p>
    <w:p w14:paraId="36B32ACC" w14:textId="6A7CC435" w:rsidR="009C2D85" w:rsidRDefault="00E04310" w:rsidP="00D568C6">
      <w:pPr>
        <w:rPr>
          <w:sz w:val="22"/>
          <w:szCs w:val="22"/>
        </w:rPr>
      </w:pPr>
      <w:r>
        <w:rPr>
          <w:sz w:val="22"/>
          <w:szCs w:val="22"/>
        </w:rPr>
        <w:t>It includes one bit for each subgroup in a PO. This implies that all the UEs monitoring PEI have a corresponding subgroup.</w:t>
      </w:r>
      <w:r w:rsidR="00B44BE7">
        <w:rPr>
          <w:sz w:val="22"/>
          <w:szCs w:val="22"/>
        </w:rPr>
        <w:t xml:space="preserve"> However, this may not be true due to the following reasons:</w:t>
      </w:r>
    </w:p>
    <w:p w14:paraId="4F801CC4" w14:textId="3F5AFAF6" w:rsidR="00B44BE7" w:rsidRDefault="00B44BE7" w:rsidP="00B44BE7">
      <w:pPr>
        <w:pStyle w:val="ListParagraph"/>
        <w:numPr>
          <w:ilvl w:val="0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The UE features for subgrouping are not finalized in RAN2 yet. It is not necessarily true that all the UEs supporting PEI also support subgrouping.</w:t>
      </w:r>
    </w:p>
    <w:p w14:paraId="205A8144" w14:textId="1DA77D65" w:rsidR="0072414F" w:rsidRDefault="0072414F" w:rsidP="00B44BE7">
      <w:pPr>
        <w:pStyle w:val="ListParagraph"/>
        <w:numPr>
          <w:ilvl w:val="0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Even if </w:t>
      </w:r>
      <w:r w:rsidR="002672E2">
        <w:rPr>
          <w:sz w:val="22"/>
          <w:szCs w:val="22"/>
        </w:rPr>
        <w:t xml:space="preserve">any UE supporting PEI also supports subgrouping, </w:t>
      </w:r>
      <w:proofErr w:type="spellStart"/>
      <w:r w:rsidR="001321B6">
        <w:rPr>
          <w:sz w:val="22"/>
          <w:szCs w:val="22"/>
        </w:rPr>
        <w:t>gNB</w:t>
      </w:r>
      <w:proofErr w:type="spellEnd"/>
      <w:r w:rsidR="001321B6">
        <w:rPr>
          <w:sz w:val="22"/>
          <w:szCs w:val="22"/>
        </w:rPr>
        <w:t xml:space="preserve"> may still have the flexibility on whether to configure subgrouping or not.</w:t>
      </w:r>
    </w:p>
    <w:p w14:paraId="3D825AA1" w14:textId="3E2DAC00" w:rsidR="001321B6" w:rsidRDefault="001E7865" w:rsidP="001321B6">
      <w:pPr>
        <w:rPr>
          <w:sz w:val="22"/>
          <w:szCs w:val="22"/>
        </w:rPr>
      </w:pPr>
      <w:r>
        <w:rPr>
          <w:sz w:val="22"/>
          <w:szCs w:val="22"/>
        </w:rPr>
        <w:t xml:space="preserve">To address the issue, </w:t>
      </w:r>
      <w:r w:rsidR="00BA0FFA">
        <w:rPr>
          <w:sz w:val="22"/>
          <w:szCs w:val="22"/>
        </w:rPr>
        <w:t xml:space="preserve">we either need to make sure that all the UEs monitoring PEI also have subgrouping </w:t>
      </w:r>
      <w:proofErr w:type="gramStart"/>
      <w:r w:rsidR="00BA0FFA">
        <w:rPr>
          <w:sz w:val="22"/>
          <w:szCs w:val="22"/>
        </w:rPr>
        <w:t>configured, or</w:t>
      </w:r>
      <w:proofErr w:type="gramEnd"/>
      <w:r w:rsidR="00BA0FFA">
        <w:rPr>
          <w:sz w:val="22"/>
          <w:szCs w:val="22"/>
        </w:rPr>
        <w:t xml:space="preserve"> need to </w:t>
      </w:r>
      <w:r w:rsidR="00547D3D">
        <w:rPr>
          <w:sz w:val="22"/>
          <w:szCs w:val="22"/>
        </w:rPr>
        <w:t xml:space="preserve">define behaviors for UEs not configured with subgrouping. </w:t>
      </w:r>
      <w:r w:rsidR="005B3907">
        <w:rPr>
          <w:sz w:val="22"/>
          <w:szCs w:val="22"/>
        </w:rPr>
        <w:t>If we want to leave more flexibility either to the UE</w:t>
      </w:r>
      <w:r w:rsidR="00805D8C">
        <w:rPr>
          <w:sz w:val="22"/>
          <w:szCs w:val="22"/>
        </w:rPr>
        <w:t xml:space="preserve"> (whether to implement subgrouping or not)</w:t>
      </w:r>
      <w:r w:rsidR="005B3907">
        <w:rPr>
          <w:sz w:val="22"/>
          <w:szCs w:val="22"/>
        </w:rPr>
        <w:t xml:space="preserve"> or the network</w:t>
      </w:r>
      <w:r w:rsidR="00805D8C">
        <w:rPr>
          <w:sz w:val="22"/>
          <w:szCs w:val="22"/>
        </w:rPr>
        <w:t xml:space="preserve"> (whether to always configure subgrouping)</w:t>
      </w:r>
      <w:r w:rsidR="005B3907">
        <w:rPr>
          <w:sz w:val="22"/>
          <w:szCs w:val="22"/>
        </w:rPr>
        <w:t xml:space="preserve">, </w:t>
      </w:r>
      <w:r w:rsidR="00805D8C">
        <w:rPr>
          <w:sz w:val="22"/>
          <w:szCs w:val="22"/>
        </w:rPr>
        <w:t>UE behavior when</w:t>
      </w:r>
      <w:r w:rsidR="00033551">
        <w:rPr>
          <w:sz w:val="22"/>
          <w:szCs w:val="22"/>
        </w:rPr>
        <w:t xml:space="preserve"> not configured with subgrouping</w:t>
      </w:r>
      <w:r w:rsidR="00C97910">
        <w:rPr>
          <w:sz w:val="22"/>
          <w:szCs w:val="22"/>
        </w:rPr>
        <w:t xml:space="preserve"> should be defined</w:t>
      </w:r>
      <w:r w:rsidR="00033551">
        <w:rPr>
          <w:sz w:val="22"/>
          <w:szCs w:val="22"/>
        </w:rPr>
        <w:t>.</w:t>
      </w:r>
      <w:r w:rsidR="006E734D">
        <w:rPr>
          <w:sz w:val="22"/>
          <w:szCs w:val="22"/>
        </w:rPr>
        <w:t xml:space="preserve"> </w:t>
      </w:r>
      <w:r w:rsidR="001423DD">
        <w:rPr>
          <w:sz w:val="22"/>
          <w:szCs w:val="22"/>
        </w:rPr>
        <w:t>There are different ways to define UE behaviors</w:t>
      </w:r>
      <w:r w:rsidR="0058557A">
        <w:rPr>
          <w:sz w:val="22"/>
          <w:szCs w:val="22"/>
        </w:rPr>
        <w:t xml:space="preserve"> (but with similar effect), for example,</w:t>
      </w:r>
    </w:p>
    <w:p w14:paraId="792C4CEB" w14:textId="65F43752" w:rsidR="0058557A" w:rsidRDefault="0058557A" w:rsidP="0058557A">
      <w:pPr>
        <w:pStyle w:val="ListParagraph"/>
        <w:numPr>
          <w:ilvl w:val="0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Alt 1: Add a separate bit in the PEI field for UEs not configured with subgrouping.</w:t>
      </w:r>
    </w:p>
    <w:p w14:paraId="64FB309C" w14:textId="3BF80E64" w:rsidR="0058557A" w:rsidRDefault="00400E14" w:rsidP="0058557A">
      <w:pPr>
        <w:pStyle w:val="ListParagraph"/>
        <w:numPr>
          <w:ilvl w:val="1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would</w:t>
      </w:r>
      <w:r w:rsidR="002C0FF9">
        <w:rPr>
          <w:sz w:val="22"/>
          <w:szCs w:val="22"/>
        </w:rPr>
        <w:t xml:space="preserve"> require</w:t>
      </w:r>
      <w:r>
        <w:rPr>
          <w:sz w:val="22"/>
          <w:szCs w:val="22"/>
        </w:rPr>
        <w:t xml:space="preserve"> modif</w:t>
      </w:r>
      <w:r w:rsidR="002C0FF9">
        <w:rPr>
          <w:sz w:val="22"/>
          <w:szCs w:val="22"/>
        </w:rPr>
        <w:t>ication of</w:t>
      </w:r>
      <w:r>
        <w:rPr>
          <w:sz w:val="22"/>
          <w:szCs w:val="22"/>
        </w:rPr>
        <w:t xml:space="preserve"> the previous agreement.</w:t>
      </w:r>
    </w:p>
    <w:p w14:paraId="55148E67" w14:textId="4475627B" w:rsidR="00400E14" w:rsidRDefault="00400E14" w:rsidP="00400E14">
      <w:pPr>
        <w:pStyle w:val="ListParagraph"/>
        <w:numPr>
          <w:ilvl w:val="0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Alt 2: UEs not configured with subgrouping share the same bit as </w:t>
      </w:r>
      <w:proofErr w:type="gramStart"/>
      <w:r w:rsidR="00BB2D60">
        <w:rPr>
          <w:sz w:val="22"/>
          <w:szCs w:val="22"/>
        </w:rPr>
        <w:t>e.g.</w:t>
      </w:r>
      <w:proofErr w:type="gramEnd"/>
      <w:r w:rsidR="00BB2D60">
        <w:rPr>
          <w:sz w:val="22"/>
          <w:szCs w:val="22"/>
        </w:rPr>
        <w:t xml:space="preserve"> </w:t>
      </w:r>
      <w:r>
        <w:rPr>
          <w:sz w:val="22"/>
          <w:szCs w:val="22"/>
        </w:rPr>
        <w:t>the first or last subgroup.</w:t>
      </w:r>
    </w:p>
    <w:p w14:paraId="67BFF799" w14:textId="77777777" w:rsidR="00AC1DA7" w:rsidRDefault="002C0FF9" w:rsidP="008413EF">
      <w:pPr>
        <w:pStyle w:val="ListParagraph"/>
        <w:numPr>
          <w:ilvl w:val="1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effectively creates a larger subgroup and cause</w:t>
      </w:r>
      <w:r w:rsidR="00DA707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DA7072">
        <w:rPr>
          <w:sz w:val="22"/>
          <w:szCs w:val="22"/>
        </w:rPr>
        <w:t xml:space="preserve">more </w:t>
      </w:r>
      <w:r>
        <w:rPr>
          <w:sz w:val="22"/>
          <w:szCs w:val="22"/>
        </w:rPr>
        <w:t>unnecessary wakeup for the UEs sharing the same bit.</w:t>
      </w:r>
    </w:p>
    <w:p w14:paraId="3FF94C8D" w14:textId="77777777" w:rsidR="00AC1DA7" w:rsidRDefault="0081451A" w:rsidP="008413EF">
      <w:pPr>
        <w:pStyle w:val="ListParagraph"/>
        <w:numPr>
          <w:ilvl w:val="1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To avoid</w:t>
      </w:r>
      <w:r w:rsidR="00BB2D60">
        <w:rPr>
          <w:sz w:val="22"/>
          <w:szCs w:val="22"/>
        </w:rPr>
        <w:t>/alleviate</w:t>
      </w:r>
      <w:r>
        <w:rPr>
          <w:sz w:val="22"/>
          <w:szCs w:val="22"/>
        </w:rPr>
        <w:t xml:space="preserve"> this issue, </w:t>
      </w:r>
    </w:p>
    <w:p w14:paraId="391F9ED4" w14:textId="7BF1E469" w:rsidR="00AC1DA7" w:rsidRDefault="0081451A" w:rsidP="00AC1DA7">
      <w:pPr>
        <w:pStyle w:val="ListParagraph"/>
        <w:numPr>
          <w:ilvl w:val="2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for CN-assigned subgrouping, the network can</w:t>
      </w:r>
      <w:r w:rsidR="00AE23DA">
        <w:rPr>
          <w:sz w:val="22"/>
          <w:szCs w:val="22"/>
        </w:rPr>
        <w:t>, by implementation,</w:t>
      </w:r>
      <w:r>
        <w:rPr>
          <w:sz w:val="22"/>
          <w:szCs w:val="22"/>
        </w:rPr>
        <w:t xml:space="preserve"> avoid assigning this subgroup ID to other UEs</w:t>
      </w:r>
      <w:r w:rsidR="00DB24D7">
        <w:rPr>
          <w:sz w:val="22"/>
          <w:szCs w:val="22"/>
        </w:rPr>
        <w:t>.</w:t>
      </w:r>
    </w:p>
    <w:p w14:paraId="309713E3" w14:textId="412252DC" w:rsidR="008413EF" w:rsidRDefault="00AC1DA7" w:rsidP="00AC1DA7">
      <w:pPr>
        <w:pStyle w:val="ListParagraph"/>
        <w:numPr>
          <w:ilvl w:val="2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To support a similar </w:t>
      </w:r>
      <w:r w:rsidR="0048423C">
        <w:rPr>
          <w:sz w:val="22"/>
          <w:szCs w:val="22"/>
        </w:rPr>
        <w:t>mechanism</w:t>
      </w:r>
      <w:r>
        <w:rPr>
          <w:sz w:val="22"/>
          <w:szCs w:val="22"/>
        </w:rPr>
        <w:t xml:space="preserve"> for UE_ID-based subgrouping, </w:t>
      </w:r>
      <w:r w:rsidR="00C963D3">
        <w:rPr>
          <w:sz w:val="22"/>
          <w:szCs w:val="22"/>
        </w:rPr>
        <w:t xml:space="preserve">we can define a separate parameter for UE to calculate </w:t>
      </w:r>
      <w:r w:rsidR="00F979F3">
        <w:rPr>
          <w:sz w:val="22"/>
          <w:szCs w:val="22"/>
        </w:rPr>
        <w:t xml:space="preserve">the subgroup ID. For example, we can have 8 bits </w:t>
      </w:r>
      <w:r w:rsidR="007E7A6F">
        <w:rPr>
          <w:sz w:val="22"/>
          <w:szCs w:val="22"/>
        </w:rPr>
        <w:t xml:space="preserve">in PEI, but signal UE </w:t>
      </w:r>
      <w:r w:rsidR="00741911">
        <w:rPr>
          <w:sz w:val="22"/>
          <w:szCs w:val="22"/>
        </w:rPr>
        <w:t xml:space="preserve">a total of </w:t>
      </w:r>
      <w:r w:rsidR="007E7A6F">
        <w:rPr>
          <w:sz w:val="22"/>
          <w:szCs w:val="22"/>
        </w:rPr>
        <w:t xml:space="preserve">7 subgroups to derive subgroup ID. Then the extra bit </w:t>
      </w:r>
      <w:r w:rsidR="009F5526">
        <w:rPr>
          <w:sz w:val="22"/>
          <w:szCs w:val="22"/>
        </w:rPr>
        <w:t>can be used for UEs without subgrouping.</w:t>
      </w:r>
    </w:p>
    <w:p w14:paraId="649458F5" w14:textId="499F2F05" w:rsidR="009F5526" w:rsidRPr="0058557A" w:rsidRDefault="009F5526" w:rsidP="00AC1DA7">
      <w:pPr>
        <w:pStyle w:val="ListParagraph"/>
        <w:numPr>
          <w:ilvl w:val="2"/>
          <w:numId w:val="21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This effectively puts UEs without subgrouping into a separate pool, which </w:t>
      </w:r>
      <w:r w:rsidR="00F068AF">
        <w:rPr>
          <w:sz w:val="22"/>
          <w:szCs w:val="22"/>
        </w:rPr>
        <w:t>creates a “virtual” subgroup for these UEs. This achieves similar effect as Alt 1</w:t>
      </w:r>
      <w:r w:rsidR="00B97256">
        <w:rPr>
          <w:sz w:val="22"/>
          <w:szCs w:val="22"/>
        </w:rPr>
        <w:t>, without the need to change the existing agreements.</w:t>
      </w:r>
    </w:p>
    <w:p w14:paraId="4D0A67F0" w14:textId="77777777" w:rsidR="0058557A" w:rsidRPr="00BB2D60" w:rsidRDefault="0058557A" w:rsidP="001321B6">
      <w:pPr>
        <w:rPr>
          <w:sz w:val="22"/>
          <w:szCs w:val="22"/>
          <w:lang w:val="en-GB"/>
        </w:rPr>
      </w:pPr>
    </w:p>
    <w:p w14:paraId="6AC26FE7" w14:textId="134794F5" w:rsidR="006E734D" w:rsidRDefault="006E734D" w:rsidP="006E734D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FE659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To address the potential issue for UEs not configured with subgrouping, adopt one of the following </w:t>
      </w:r>
      <w:r w:rsidR="00026907">
        <w:rPr>
          <w:b/>
          <w:bCs/>
          <w:sz w:val="22"/>
          <w:szCs w:val="22"/>
        </w:rPr>
        <w:t>alternatives</w:t>
      </w:r>
      <w:r>
        <w:rPr>
          <w:b/>
          <w:bCs/>
          <w:sz w:val="22"/>
          <w:szCs w:val="22"/>
        </w:rPr>
        <w:t>:</w:t>
      </w:r>
    </w:p>
    <w:p w14:paraId="499AD9CD" w14:textId="4D811D8E" w:rsidR="00EF4465" w:rsidRDefault="00EF4465" w:rsidP="00EF4465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1: mandate that (1) all UEs supporting PEI also support subgrouping; (2) </w:t>
      </w:r>
      <w:proofErr w:type="spellStart"/>
      <w:r w:rsidR="0068497E">
        <w:rPr>
          <w:b/>
          <w:bCs/>
          <w:sz w:val="22"/>
          <w:szCs w:val="22"/>
        </w:rPr>
        <w:t>gNB</w:t>
      </w:r>
      <w:proofErr w:type="spellEnd"/>
      <w:r w:rsidR="0068497E">
        <w:rPr>
          <w:b/>
          <w:bCs/>
          <w:sz w:val="22"/>
          <w:szCs w:val="22"/>
        </w:rPr>
        <w:t xml:space="preserve"> </w:t>
      </w:r>
      <w:r w:rsidR="001423DD">
        <w:rPr>
          <w:b/>
          <w:bCs/>
          <w:sz w:val="22"/>
          <w:szCs w:val="22"/>
        </w:rPr>
        <w:t>is required to</w:t>
      </w:r>
      <w:r w:rsidR="0068497E">
        <w:rPr>
          <w:b/>
          <w:bCs/>
          <w:sz w:val="22"/>
          <w:szCs w:val="22"/>
        </w:rPr>
        <w:t xml:space="preserve"> configure subgrouping for a capable UE if PEI is enabled.</w:t>
      </w:r>
    </w:p>
    <w:p w14:paraId="37ADC8B8" w14:textId="77777777" w:rsidR="00026907" w:rsidRDefault="00EF4465" w:rsidP="00EF4465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2: </w:t>
      </w:r>
      <w:r w:rsidR="001423DD">
        <w:rPr>
          <w:b/>
          <w:bCs/>
          <w:sz w:val="22"/>
          <w:szCs w:val="22"/>
        </w:rPr>
        <w:t>For a UE monitoring PEI but not configured with subgrouping,</w:t>
      </w:r>
    </w:p>
    <w:p w14:paraId="1CD6A219" w14:textId="06CF9206" w:rsidR="006E734D" w:rsidRDefault="00026907" w:rsidP="00026907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Alt 1: Add a separate bit in the PEI field for UEs not configured with subgrouping</w:t>
      </w:r>
    </w:p>
    <w:p w14:paraId="03342075" w14:textId="37EF365A" w:rsidR="00026907" w:rsidRDefault="00026907" w:rsidP="00026907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Alt 2: Use the last bit</w:t>
      </w:r>
      <w:r w:rsidR="00741911">
        <w:rPr>
          <w:b/>
          <w:bCs/>
          <w:sz w:val="22"/>
          <w:szCs w:val="22"/>
        </w:rPr>
        <w:t xml:space="preserve"> for a PO</w:t>
      </w:r>
      <w:r>
        <w:rPr>
          <w:b/>
          <w:bCs/>
          <w:sz w:val="22"/>
          <w:szCs w:val="22"/>
        </w:rPr>
        <w:t xml:space="preserve"> </w:t>
      </w:r>
      <w:r w:rsidR="00741911">
        <w:rPr>
          <w:b/>
          <w:bCs/>
          <w:sz w:val="22"/>
          <w:szCs w:val="22"/>
        </w:rPr>
        <w:t xml:space="preserve">in the PEI field for UEs not configured with </w:t>
      </w:r>
      <w:proofErr w:type="gramStart"/>
      <w:r w:rsidR="00741911">
        <w:rPr>
          <w:b/>
          <w:bCs/>
          <w:sz w:val="22"/>
          <w:szCs w:val="22"/>
        </w:rPr>
        <w:t>subgrouping, and</w:t>
      </w:r>
      <w:proofErr w:type="gramEnd"/>
      <w:r w:rsidR="00741911">
        <w:rPr>
          <w:b/>
          <w:bCs/>
          <w:sz w:val="22"/>
          <w:szCs w:val="22"/>
        </w:rPr>
        <w:t xml:space="preserve"> introduce a separate parameter for the number of subgroups for UE to derive the subgroup ID for UE_ID-based subgrouping.</w:t>
      </w:r>
    </w:p>
    <w:p w14:paraId="6F04ED90" w14:textId="7AFF4DDF" w:rsidR="00560941" w:rsidRPr="00560941" w:rsidRDefault="00560941" w:rsidP="00560941">
      <w:pPr>
        <w:rPr>
          <w:sz w:val="22"/>
          <w:szCs w:val="22"/>
        </w:rPr>
      </w:pPr>
      <w:r>
        <w:rPr>
          <w:sz w:val="22"/>
          <w:szCs w:val="22"/>
        </w:rPr>
        <w:t xml:space="preserve">There is no big difference between </w:t>
      </w:r>
      <w:r w:rsidRPr="00560941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options. Therefore, we prefer </w:t>
      </w:r>
      <w:r w:rsidR="00B53BBB">
        <w:rPr>
          <w:sz w:val="22"/>
          <w:szCs w:val="22"/>
        </w:rPr>
        <w:t>the simpler option, i.e., Option 1.</w:t>
      </w:r>
    </w:p>
    <w:p w14:paraId="3E23E39A" w14:textId="26B0F9C6" w:rsidR="00255582" w:rsidRDefault="00255582" w:rsidP="00255582">
      <w:pPr>
        <w:pStyle w:val="Heading1"/>
        <w:jc w:val="both"/>
      </w:pPr>
      <w:r>
        <w:t>UE assistance information</w:t>
      </w:r>
      <w:r w:rsidR="006A352E">
        <w:t xml:space="preserve"> on the preferred offset between PEI and PO</w:t>
      </w:r>
    </w:p>
    <w:p w14:paraId="40D09450" w14:textId="09B6A842" w:rsidR="006E734D" w:rsidRDefault="005D124D" w:rsidP="001321B6">
      <w:pPr>
        <w:rPr>
          <w:sz w:val="22"/>
          <w:szCs w:val="22"/>
        </w:rPr>
      </w:pPr>
      <w:r>
        <w:rPr>
          <w:sz w:val="22"/>
          <w:szCs w:val="22"/>
        </w:rPr>
        <w:t>The UE power saving from PEI and t</w:t>
      </w:r>
      <w:r w:rsidR="006A352E">
        <w:rPr>
          <w:sz w:val="22"/>
          <w:szCs w:val="22"/>
        </w:rPr>
        <w:t>he preferred location of PEI</w:t>
      </w:r>
      <w:r>
        <w:rPr>
          <w:sz w:val="22"/>
          <w:szCs w:val="22"/>
        </w:rPr>
        <w:t xml:space="preserve"> to achieve the most UE power saving</w:t>
      </w:r>
      <w:r w:rsidR="006A352E">
        <w:rPr>
          <w:sz w:val="22"/>
          <w:szCs w:val="22"/>
        </w:rPr>
        <w:t xml:space="preserve"> </w:t>
      </w:r>
      <w:proofErr w:type="gramStart"/>
      <w:r w:rsidR="00DB677D">
        <w:rPr>
          <w:sz w:val="22"/>
          <w:szCs w:val="22"/>
        </w:rPr>
        <w:t>are</w:t>
      </w:r>
      <w:proofErr w:type="gramEnd"/>
      <w:r w:rsidR="00DB677D">
        <w:rPr>
          <w:sz w:val="22"/>
          <w:szCs w:val="22"/>
        </w:rPr>
        <w:t xml:space="preserve"> very much </w:t>
      </w:r>
      <w:r>
        <w:rPr>
          <w:sz w:val="22"/>
          <w:szCs w:val="22"/>
        </w:rPr>
        <w:t>depend</w:t>
      </w:r>
      <w:r w:rsidR="00DB677D">
        <w:rPr>
          <w:sz w:val="22"/>
          <w:szCs w:val="22"/>
        </w:rPr>
        <w:t>ent</w:t>
      </w:r>
      <w:r>
        <w:rPr>
          <w:sz w:val="22"/>
          <w:szCs w:val="22"/>
        </w:rPr>
        <w:t xml:space="preserve"> on UE implementation</w:t>
      </w:r>
      <w:r w:rsidR="00F618AD">
        <w:rPr>
          <w:sz w:val="22"/>
          <w:szCs w:val="22"/>
        </w:rPr>
        <w:t xml:space="preserve">, and such information is unknown to the network. </w:t>
      </w:r>
      <w:r w:rsidR="009B0344">
        <w:rPr>
          <w:sz w:val="22"/>
          <w:szCs w:val="22"/>
        </w:rPr>
        <w:t xml:space="preserve">It can be very </w:t>
      </w:r>
      <w:r w:rsidR="00DB677D">
        <w:rPr>
          <w:sz w:val="22"/>
          <w:szCs w:val="22"/>
        </w:rPr>
        <w:t>challenging</w:t>
      </w:r>
      <w:r w:rsidR="009B0344">
        <w:rPr>
          <w:sz w:val="22"/>
          <w:szCs w:val="22"/>
        </w:rPr>
        <w:t xml:space="preserve"> for the network to configure the location of PEI properly</w:t>
      </w:r>
      <w:r w:rsidR="00DB677D">
        <w:rPr>
          <w:sz w:val="22"/>
          <w:szCs w:val="22"/>
        </w:rPr>
        <w:t xml:space="preserve">. It would be useful for the UE to </w:t>
      </w:r>
      <w:proofErr w:type="gramStart"/>
      <w:r w:rsidR="00F04C27">
        <w:rPr>
          <w:sz w:val="22"/>
          <w:szCs w:val="22"/>
        </w:rPr>
        <w:t>provide assistance</w:t>
      </w:r>
      <w:proofErr w:type="gramEnd"/>
      <w:r w:rsidR="00F04C27">
        <w:rPr>
          <w:sz w:val="22"/>
          <w:szCs w:val="22"/>
        </w:rPr>
        <w:t xml:space="preserve"> information </w:t>
      </w:r>
      <w:r w:rsidR="005066AC">
        <w:rPr>
          <w:sz w:val="22"/>
          <w:szCs w:val="22"/>
        </w:rPr>
        <w:t>on the preferred offset between PEI and PO</w:t>
      </w:r>
      <w:r w:rsidR="00483AF5">
        <w:rPr>
          <w:sz w:val="22"/>
          <w:szCs w:val="22"/>
        </w:rPr>
        <w:t>. Even though the reported values from different UEs can be different, it still helps the network make more informed decision when configuring PEI monitoring occasions.</w:t>
      </w:r>
      <w:r w:rsidR="00CD1454">
        <w:rPr>
          <w:sz w:val="22"/>
          <w:szCs w:val="22"/>
        </w:rPr>
        <w:t xml:space="preserve"> As one example, the network may choose to accommodate the UEs that prefer the largest offset because it brings the most power saving gain</w:t>
      </w:r>
      <w:r w:rsidR="0023292F">
        <w:rPr>
          <w:sz w:val="22"/>
          <w:szCs w:val="22"/>
        </w:rPr>
        <w:t xml:space="preserve"> for these UEs. It is more natural for UE to report the preferred number of SSBs between PEI and PO, instead of </w:t>
      </w:r>
      <w:r w:rsidR="00301810">
        <w:rPr>
          <w:sz w:val="22"/>
          <w:szCs w:val="22"/>
        </w:rPr>
        <w:t xml:space="preserve">in the unit of </w:t>
      </w:r>
      <w:r w:rsidR="0023292F">
        <w:rPr>
          <w:sz w:val="22"/>
          <w:szCs w:val="22"/>
        </w:rPr>
        <w:t>slots</w:t>
      </w:r>
      <w:r w:rsidR="00301810">
        <w:rPr>
          <w:sz w:val="22"/>
          <w:szCs w:val="22"/>
        </w:rPr>
        <w:t xml:space="preserve"> or </w:t>
      </w:r>
      <w:proofErr w:type="spellStart"/>
      <w:r w:rsidR="00301810">
        <w:rPr>
          <w:sz w:val="22"/>
          <w:szCs w:val="22"/>
        </w:rPr>
        <w:t>ms</w:t>
      </w:r>
      <w:proofErr w:type="spellEnd"/>
      <w:r w:rsidR="00301810">
        <w:rPr>
          <w:sz w:val="22"/>
          <w:szCs w:val="22"/>
        </w:rPr>
        <w:t>, because the SSBs are what is needed by the UE for tracking purpose.</w:t>
      </w:r>
    </w:p>
    <w:p w14:paraId="128D6A6F" w14:textId="600986BE" w:rsidR="0023292F" w:rsidRPr="00301810" w:rsidRDefault="00301810" w:rsidP="001321B6">
      <w:pPr>
        <w:rPr>
          <w:b/>
          <w:bCs/>
          <w:sz w:val="22"/>
          <w:szCs w:val="22"/>
        </w:rPr>
      </w:pPr>
      <w:r w:rsidRPr="00301810">
        <w:rPr>
          <w:b/>
          <w:bCs/>
          <w:sz w:val="22"/>
          <w:szCs w:val="22"/>
        </w:rPr>
        <w:t xml:space="preserve">Proposal 3: </w:t>
      </w:r>
      <w:r w:rsidR="00AA2089">
        <w:rPr>
          <w:b/>
          <w:bCs/>
          <w:sz w:val="22"/>
          <w:szCs w:val="22"/>
        </w:rPr>
        <w:t>It is supported that UE transmits assistance information on the preferred offset between PEI and PO, in unit of number of SSBs in between.</w:t>
      </w:r>
    </w:p>
    <w:p w14:paraId="6D2F2A7D" w14:textId="279009C9" w:rsidR="00DB4B97" w:rsidRDefault="00DB4B97" w:rsidP="00D568C6">
      <w:pPr>
        <w:pStyle w:val="Heading1"/>
      </w:pPr>
      <w:r>
        <w:t>PO configuration</w:t>
      </w:r>
    </w:p>
    <w:p w14:paraId="3485AF94" w14:textId="534583E7" w:rsidR="005849C6" w:rsidRDefault="00D12D0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If we follow the legacy approach to determine a UE’s PO, it is natural that in each PO we will see a mix of </w:t>
      </w:r>
      <w:r w:rsidR="00E60A5F">
        <w:rPr>
          <w:sz w:val="22"/>
          <w:szCs w:val="22"/>
        </w:rPr>
        <w:t xml:space="preserve">legacy UEs and new UEs. This </w:t>
      </w:r>
      <w:r w:rsidR="002517E6">
        <w:rPr>
          <w:sz w:val="22"/>
          <w:szCs w:val="22"/>
        </w:rPr>
        <w:t xml:space="preserve">works but we think </w:t>
      </w:r>
      <w:r w:rsidR="002517E6" w:rsidRPr="002517E6">
        <w:rPr>
          <w:b/>
          <w:bCs/>
          <w:sz w:val="22"/>
          <w:szCs w:val="22"/>
        </w:rPr>
        <w:t>there is some benefit to support separate PO</w:t>
      </w:r>
      <w:r w:rsidR="002517E6">
        <w:rPr>
          <w:b/>
          <w:bCs/>
          <w:sz w:val="22"/>
          <w:szCs w:val="22"/>
        </w:rPr>
        <w:t>s</w:t>
      </w:r>
      <w:r w:rsidR="002517E6" w:rsidRPr="002517E6">
        <w:rPr>
          <w:b/>
          <w:bCs/>
          <w:sz w:val="22"/>
          <w:szCs w:val="22"/>
        </w:rPr>
        <w:t xml:space="preserve"> for legacy UEs and new UEs</w:t>
      </w:r>
      <w:r w:rsidR="002517E6">
        <w:rPr>
          <w:sz w:val="22"/>
          <w:szCs w:val="22"/>
        </w:rPr>
        <w:t xml:space="preserve">. </w:t>
      </w:r>
      <w:r w:rsidR="00191224">
        <w:rPr>
          <w:sz w:val="22"/>
          <w:szCs w:val="22"/>
        </w:rPr>
        <w:t>It</w:t>
      </w:r>
      <w:r w:rsidR="00DA0FA2">
        <w:rPr>
          <w:sz w:val="22"/>
          <w:szCs w:val="22"/>
        </w:rPr>
        <w:t xml:space="preserve"> means that in each PO, there are only legacy UEs or only new UEs. The potential advantages include:</w:t>
      </w:r>
    </w:p>
    <w:p w14:paraId="6C0EF977" w14:textId="50A5945A" w:rsidR="00B02445" w:rsidRPr="00DA0FA2" w:rsidRDefault="00B02445" w:rsidP="006034E7">
      <w:pPr>
        <w:pStyle w:val="ListParagraph"/>
        <w:numPr>
          <w:ilvl w:val="0"/>
          <w:numId w:val="5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we consider the support of sub-grouping, the idea is that we can have a high group paging rate but a much lower sub-group paging rate, so that each UE belonging to a certain sub-group needs to wake up </w:t>
      </w:r>
      <w:r w:rsidR="00DB71E3">
        <w:rPr>
          <w:sz w:val="22"/>
          <w:szCs w:val="22"/>
        </w:rPr>
        <w:t>only when</w:t>
      </w:r>
      <w:r w:rsidR="00E54211">
        <w:rPr>
          <w:sz w:val="22"/>
          <w:szCs w:val="22"/>
        </w:rPr>
        <w:t xml:space="preserve"> the sub-group is paged. However, if a PO has a mix of legacy and new UEs, even though the new UEs has a reduced sub-group paging rate, the legacy UEs still </w:t>
      </w:r>
      <w:r w:rsidR="00DB71E3">
        <w:rPr>
          <w:sz w:val="22"/>
          <w:szCs w:val="22"/>
        </w:rPr>
        <w:t xml:space="preserve">need to </w:t>
      </w:r>
      <w:r w:rsidR="00745041">
        <w:rPr>
          <w:sz w:val="22"/>
          <w:szCs w:val="22"/>
        </w:rPr>
        <w:t xml:space="preserve">receive the paging </w:t>
      </w:r>
      <w:r w:rsidR="00DB71E3">
        <w:rPr>
          <w:sz w:val="22"/>
          <w:szCs w:val="22"/>
        </w:rPr>
        <w:t>PDSCH</w:t>
      </w:r>
      <w:r w:rsidR="00745041">
        <w:rPr>
          <w:sz w:val="22"/>
          <w:szCs w:val="22"/>
        </w:rPr>
        <w:t xml:space="preserve"> according to the much higher group paging rate, which results in more power consumption for the legacy UEs. If we allow the legacy and new UEs to be separated, </w:t>
      </w:r>
      <w:r w:rsidR="00933BCD">
        <w:rPr>
          <w:sz w:val="22"/>
          <w:szCs w:val="22"/>
        </w:rPr>
        <w:t>the sub-grouping feature can be fully utilized for the new UEs, without any negative impact on the legacy UEs.</w:t>
      </w:r>
    </w:p>
    <w:p w14:paraId="1D4A188C" w14:textId="0C20F425" w:rsidR="00DA0FA2" w:rsidRDefault="00F51BDD" w:rsidP="006034E7">
      <w:pPr>
        <w:pStyle w:val="ListParagraph"/>
        <w:numPr>
          <w:ilvl w:val="0"/>
          <w:numId w:val="5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If a PO has legacy UEs only, there is no need for a network to transmit PEI. This is in contrast to the case where each PO has a mix of legacy and new UEs, and PEI always needs to be transmitted. This further reduces the unnecessary overhead.</w:t>
      </w:r>
    </w:p>
    <w:p w14:paraId="0757359F" w14:textId="7CD0DCCF" w:rsidR="00933BCD" w:rsidRDefault="00792D61" w:rsidP="00933BCD">
      <w:pPr>
        <w:rPr>
          <w:sz w:val="22"/>
          <w:szCs w:val="22"/>
        </w:rPr>
      </w:pPr>
      <w:r>
        <w:rPr>
          <w:sz w:val="22"/>
          <w:szCs w:val="22"/>
        </w:rPr>
        <w:t>This can be achieved by providing separate parameters for the number of paging frames and offset for the new UEs.</w:t>
      </w:r>
    </w:p>
    <w:p w14:paraId="6742EDC8" w14:textId="6CC4E9F9" w:rsidR="00933BCD" w:rsidRPr="00933BCD" w:rsidRDefault="00933BCD" w:rsidP="00933BCD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</w:t>
      </w:r>
      <w:r w:rsidR="004830D6">
        <w:rPr>
          <w:b/>
          <w:bCs/>
          <w:sz w:val="22"/>
          <w:szCs w:val="22"/>
        </w:rPr>
        <w:t>4</w:t>
      </w:r>
      <w:r w:rsidRPr="00933BCD">
        <w:rPr>
          <w:b/>
          <w:bCs/>
          <w:sz w:val="22"/>
          <w:szCs w:val="22"/>
        </w:rPr>
        <w:t xml:space="preserve">: </w:t>
      </w:r>
      <w:r w:rsidR="007C6735"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separate PO configurations for UEs</w:t>
      </w:r>
      <w:r w:rsidR="001565F8">
        <w:rPr>
          <w:b/>
          <w:bCs/>
          <w:sz w:val="22"/>
          <w:szCs w:val="22"/>
        </w:rPr>
        <w:t xml:space="preserve"> supporting sub-grouping</w:t>
      </w:r>
      <w:r w:rsidRPr="00933BCD">
        <w:rPr>
          <w:b/>
          <w:bCs/>
          <w:sz w:val="22"/>
          <w:szCs w:val="22"/>
        </w:rPr>
        <w:t xml:space="preserve"> and UEs</w:t>
      </w:r>
      <w:r w:rsidR="001565F8">
        <w:rPr>
          <w:b/>
          <w:bCs/>
          <w:sz w:val="22"/>
          <w:szCs w:val="22"/>
        </w:rPr>
        <w:t xml:space="preserve"> not supporting sub-grouping</w:t>
      </w:r>
      <w:r w:rsidRPr="00933BCD">
        <w:rPr>
          <w:b/>
          <w:bCs/>
          <w:sz w:val="22"/>
          <w:szCs w:val="22"/>
        </w:rPr>
        <w:t>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8B7B0DB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255582">
        <w:rPr>
          <w:sz w:val="22"/>
          <w:szCs w:val="22"/>
          <w:lang w:val="en-US"/>
        </w:rPr>
        <w:t>discussed some remaining issues</w:t>
      </w:r>
      <w:r w:rsidR="00A837B5">
        <w:rPr>
          <w:sz w:val="22"/>
          <w:szCs w:val="22"/>
          <w:lang w:val="en-US"/>
        </w:rPr>
        <w:t xml:space="preserve"> for paging enhancements, and made the following proposal</w:t>
      </w:r>
      <w:r w:rsidR="00255582">
        <w:rPr>
          <w:sz w:val="22"/>
          <w:szCs w:val="22"/>
          <w:lang w:val="en-US"/>
        </w:rPr>
        <w:t>s</w:t>
      </w:r>
      <w:r w:rsidRPr="00CC1A38">
        <w:rPr>
          <w:sz w:val="22"/>
          <w:szCs w:val="22"/>
          <w:lang w:val="en-US"/>
        </w:rPr>
        <w:t>:</w:t>
      </w:r>
    </w:p>
    <w:p w14:paraId="1CEA95A6" w14:textId="77777777" w:rsidR="006013FF" w:rsidRPr="00FE659A" w:rsidRDefault="006013FF" w:rsidP="006013FF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lastRenderedPageBreak/>
        <w:t xml:space="preserve">Proposal 1: </w:t>
      </w:r>
      <w:r>
        <w:rPr>
          <w:b/>
          <w:bCs/>
          <w:sz w:val="22"/>
          <w:szCs w:val="22"/>
        </w:rPr>
        <w:t>A</w:t>
      </w:r>
      <w:r w:rsidRPr="00EF4A62">
        <w:rPr>
          <w:b/>
          <w:bCs/>
          <w:sz w:val="22"/>
          <w:szCs w:val="22"/>
        </w:rPr>
        <w:t>ll the UEs in a cell determine the mapping of PEI to POs/PFs based on a reference DRX cycle</w:t>
      </w:r>
      <w:r>
        <w:rPr>
          <w:b/>
          <w:bCs/>
          <w:sz w:val="22"/>
          <w:szCs w:val="22"/>
        </w:rPr>
        <w:t>, which</w:t>
      </w:r>
      <w:r w:rsidRPr="00EF4A62">
        <w:rPr>
          <w:b/>
          <w:bCs/>
          <w:sz w:val="22"/>
          <w:szCs w:val="22"/>
        </w:rPr>
        <w:t xml:space="preserve"> is signaled by the </w:t>
      </w:r>
      <w:proofErr w:type="spellStart"/>
      <w:r w:rsidRPr="00EF4A62">
        <w:rPr>
          <w:b/>
          <w:bCs/>
          <w:sz w:val="22"/>
          <w:szCs w:val="22"/>
        </w:rPr>
        <w:t>gNB</w:t>
      </w:r>
      <w:proofErr w:type="spellEnd"/>
      <w:r w:rsidRPr="00EF4A62">
        <w:rPr>
          <w:b/>
          <w:bCs/>
          <w:sz w:val="22"/>
          <w:szCs w:val="22"/>
        </w:rPr>
        <w:t xml:space="preserve"> in SIB. The </w:t>
      </w:r>
      <w:proofErr w:type="spellStart"/>
      <w:r w:rsidRPr="00EF4A62">
        <w:rPr>
          <w:b/>
          <w:bCs/>
          <w:sz w:val="22"/>
          <w:szCs w:val="22"/>
        </w:rPr>
        <w:t>gNB</w:t>
      </w:r>
      <w:proofErr w:type="spellEnd"/>
      <w:r w:rsidRPr="00EF4A62">
        <w:rPr>
          <w:b/>
          <w:bCs/>
          <w:sz w:val="22"/>
          <w:szCs w:val="22"/>
        </w:rPr>
        <w:t xml:space="preserve"> shall guarantee that the DRX cycle of any UE is not smaller than the reference DRX cycle.</w:t>
      </w:r>
    </w:p>
    <w:p w14:paraId="434CFDF2" w14:textId="77777777" w:rsidR="006013FF" w:rsidRDefault="006013FF" w:rsidP="006013FF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FE659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To address the potential issue for UEs not configured with subgrouping, adopt one of the following alternatives:</w:t>
      </w:r>
    </w:p>
    <w:p w14:paraId="7BB717C2" w14:textId="77777777" w:rsidR="006013FF" w:rsidRDefault="006013FF" w:rsidP="006013FF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1: mandate that (1) all UEs supporting PEI also support subgrouping; (2) </w:t>
      </w:r>
      <w:proofErr w:type="spellStart"/>
      <w:r>
        <w:rPr>
          <w:b/>
          <w:bCs/>
          <w:sz w:val="22"/>
          <w:szCs w:val="22"/>
        </w:rPr>
        <w:t>gNB</w:t>
      </w:r>
      <w:proofErr w:type="spellEnd"/>
      <w:r>
        <w:rPr>
          <w:b/>
          <w:bCs/>
          <w:sz w:val="22"/>
          <w:szCs w:val="22"/>
        </w:rPr>
        <w:t xml:space="preserve"> is required to configure subgrouping for a capable UE if PEI is enabled.</w:t>
      </w:r>
    </w:p>
    <w:p w14:paraId="3A176E6E" w14:textId="77777777" w:rsidR="006013FF" w:rsidRDefault="006013FF" w:rsidP="006013FF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 2: For a UE monitoring PEI but not configured with subgrouping,</w:t>
      </w:r>
    </w:p>
    <w:p w14:paraId="2FF43CAA" w14:textId="77777777" w:rsidR="006013FF" w:rsidRDefault="006013FF" w:rsidP="006013FF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Alt 1: Add a separate bit in the PEI field for UEs not configured with subgrouping</w:t>
      </w:r>
    </w:p>
    <w:p w14:paraId="47C82345" w14:textId="77777777" w:rsidR="006013FF" w:rsidRDefault="006013FF" w:rsidP="006013FF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Alt 2: Use the last bit for a PO in the PEI field for UEs not configured with </w:t>
      </w:r>
      <w:proofErr w:type="gramStart"/>
      <w:r>
        <w:rPr>
          <w:b/>
          <w:bCs/>
          <w:sz w:val="22"/>
          <w:szCs w:val="22"/>
        </w:rPr>
        <w:t>subgrouping, and</w:t>
      </w:r>
      <w:proofErr w:type="gramEnd"/>
      <w:r>
        <w:rPr>
          <w:b/>
          <w:bCs/>
          <w:sz w:val="22"/>
          <w:szCs w:val="22"/>
        </w:rPr>
        <w:t xml:space="preserve"> introduce a separate parameter for the number of subgroups for UE to derive the subgroup ID for UE_ID-based subgrouping.</w:t>
      </w:r>
    </w:p>
    <w:p w14:paraId="118BD4A9" w14:textId="77777777" w:rsidR="006013FF" w:rsidRPr="00301810" w:rsidRDefault="006013FF" w:rsidP="006013FF">
      <w:pPr>
        <w:rPr>
          <w:b/>
          <w:bCs/>
          <w:sz w:val="22"/>
          <w:szCs w:val="22"/>
        </w:rPr>
      </w:pPr>
      <w:r w:rsidRPr="00301810">
        <w:rPr>
          <w:b/>
          <w:bCs/>
          <w:sz w:val="22"/>
          <w:szCs w:val="22"/>
        </w:rPr>
        <w:t xml:space="preserve">Proposal 3: </w:t>
      </w:r>
      <w:r>
        <w:rPr>
          <w:b/>
          <w:bCs/>
          <w:sz w:val="22"/>
          <w:szCs w:val="22"/>
        </w:rPr>
        <w:t>It is supported that UE transmits assistance information on the preferred offset between PEI and PO, in unit of number of SSBs in between.</w:t>
      </w:r>
    </w:p>
    <w:p w14:paraId="37639450" w14:textId="77777777" w:rsidR="006013FF" w:rsidRPr="00933BCD" w:rsidRDefault="006013FF" w:rsidP="006013FF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933BC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separate PO configurations for UEs</w:t>
      </w:r>
      <w:r>
        <w:rPr>
          <w:b/>
          <w:bCs/>
          <w:sz w:val="22"/>
          <w:szCs w:val="22"/>
        </w:rPr>
        <w:t xml:space="preserve"> supporting sub-grouping</w:t>
      </w:r>
      <w:r w:rsidRPr="00933BCD">
        <w:rPr>
          <w:b/>
          <w:bCs/>
          <w:sz w:val="22"/>
          <w:szCs w:val="22"/>
        </w:rPr>
        <w:t xml:space="preserve"> and UEs</w:t>
      </w:r>
      <w:r>
        <w:rPr>
          <w:b/>
          <w:bCs/>
          <w:sz w:val="22"/>
          <w:szCs w:val="22"/>
        </w:rPr>
        <w:t xml:space="preserve"> not supporting sub-grouping</w:t>
      </w:r>
      <w:r w:rsidRPr="00933BCD">
        <w:rPr>
          <w:b/>
          <w:bCs/>
          <w:sz w:val="22"/>
          <w:szCs w:val="22"/>
        </w:rPr>
        <w:t>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01D916D2" w:rsidR="00344198" w:rsidRPr="00957D20" w:rsidRDefault="00BF7A10" w:rsidP="006034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7904F9D9" w14:textId="77777777" w:rsidR="00DC68A4" w:rsidRPr="00E55EB5" w:rsidRDefault="00DC68A4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DC68A4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DC207C"/>
    <w:multiLevelType w:val="hybridMultilevel"/>
    <w:tmpl w:val="BB96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301E9"/>
    <w:multiLevelType w:val="hybridMultilevel"/>
    <w:tmpl w:val="08D2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141019"/>
    <w:multiLevelType w:val="hybridMultilevel"/>
    <w:tmpl w:val="70F4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8725A"/>
    <w:multiLevelType w:val="hybridMultilevel"/>
    <w:tmpl w:val="7B7A7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F30B1"/>
    <w:multiLevelType w:val="hybridMultilevel"/>
    <w:tmpl w:val="45B2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C14BD"/>
    <w:multiLevelType w:val="hybridMultilevel"/>
    <w:tmpl w:val="980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C92779"/>
    <w:multiLevelType w:val="multilevel"/>
    <w:tmpl w:val="11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6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171D0"/>
    <w:multiLevelType w:val="hybridMultilevel"/>
    <w:tmpl w:val="B4302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175A9"/>
    <w:multiLevelType w:val="hybridMultilevel"/>
    <w:tmpl w:val="6388E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3"/>
  </w:num>
  <w:num w:numId="5">
    <w:abstractNumId w:val="10"/>
  </w:num>
  <w:num w:numId="6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18"/>
  </w:num>
  <w:num w:numId="10">
    <w:abstractNumId w:val="7"/>
  </w:num>
  <w:num w:numId="11">
    <w:abstractNumId w:val="16"/>
  </w:num>
  <w:num w:numId="12">
    <w:abstractNumId w:val="14"/>
  </w:num>
  <w:num w:numId="13">
    <w:abstractNumId w:val="19"/>
  </w:num>
  <w:num w:numId="14">
    <w:abstractNumId w:val="20"/>
  </w:num>
  <w:num w:numId="15">
    <w:abstractNumId w:val="5"/>
  </w:num>
  <w:num w:numId="16">
    <w:abstractNumId w:val="11"/>
  </w:num>
  <w:num w:numId="17">
    <w:abstractNumId w:val="8"/>
  </w:num>
  <w:num w:numId="18">
    <w:abstractNumId w:val="12"/>
  </w:num>
  <w:num w:numId="19">
    <w:abstractNumId w:val="2"/>
  </w:num>
  <w:num w:numId="20">
    <w:abstractNumId w:val="3"/>
  </w:num>
  <w:num w:numId="21">
    <w:abstractNumId w:val="9"/>
  </w:num>
  <w:num w:numId="22">
    <w:abstractNumId w:val="4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5161"/>
    <w:rsid w:val="00026645"/>
    <w:rsid w:val="00026907"/>
    <w:rsid w:val="00031E68"/>
    <w:rsid w:val="00032FD3"/>
    <w:rsid w:val="00033551"/>
    <w:rsid w:val="00033D5B"/>
    <w:rsid w:val="00034F11"/>
    <w:rsid w:val="00035CF3"/>
    <w:rsid w:val="000379D0"/>
    <w:rsid w:val="00041988"/>
    <w:rsid w:val="00041EFE"/>
    <w:rsid w:val="00044CC2"/>
    <w:rsid w:val="00044EAE"/>
    <w:rsid w:val="00052E46"/>
    <w:rsid w:val="0005612B"/>
    <w:rsid w:val="000605BB"/>
    <w:rsid w:val="00060D82"/>
    <w:rsid w:val="00062BBD"/>
    <w:rsid w:val="00062BC5"/>
    <w:rsid w:val="0007075C"/>
    <w:rsid w:val="000713AA"/>
    <w:rsid w:val="00073136"/>
    <w:rsid w:val="000735D3"/>
    <w:rsid w:val="0008027A"/>
    <w:rsid w:val="00084EE1"/>
    <w:rsid w:val="000A1890"/>
    <w:rsid w:val="000A2AAA"/>
    <w:rsid w:val="000B0FBC"/>
    <w:rsid w:val="000B401D"/>
    <w:rsid w:val="000B44EF"/>
    <w:rsid w:val="000B5E55"/>
    <w:rsid w:val="000B70ED"/>
    <w:rsid w:val="000C3D00"/>
    <w:rsid w:val="000C6206"/>
    <w:rsid w:val="000C62A2"/>
    <w:rsid w:val="000C7727"/>
    <w:rsid w:val="000D1A8F"/>
    <w:rsid w:val="000E24C6"/>
    <w:rsid w:val="000F2C70"/>
    <w:rsid w:val="000F4B52"/>
    <w:rsid w:val="000F547F"/>
    <w:rsid w:val="000F6485"/>
    <w:rsid w:val="000F69FD"/>
    <w:rsid w:val="00104EEB"/>
    <w:rsid w:val="001063CE"/>
    <w:rsid w:val="00111373"/>
    <w:rsid w:val="00112674"/>
    <w:rsid w:val="00112818"/>
    <w:rsid w:val="00112AB5"/>
    <w:rsid w:val="001144DC"/>
    <w:rsid w:val="00114DBF"/>
    <w:rsid w:val="001154AF"/>
    <w:rsid w:val="00115C28"/>
    <w:rsid w:val="00116CB5"/>
    <w:rsid w:val="00121FE0"/>
    <w:rsid w:val="001260A0"/>
    <w:rsid w:val="00126C56"/>
    <w:rsid w:val="00127219"/>
    <w:rsid w:val="001321B6"/>
    <w:rsid w:val="0013510C"/>
    <w:rsid w:val="00135229"/>
    <w:rsid w:val="00136915"/>
    <w:rsid w:val="001373C1"/>
    <w:rsid w:val="00137EFA"/>
    <w:rsid w:val="00140849"/>
    <w:rsid w:val="00141A14"/>
    <w:rsid w:val="001423DD"/>
    <w:rsid w:val="00143262"/>
    <w:rsid w:val="001454B7"/>
    <w:rsid w:val="00145A70"/>
    <w:rsid w:val="00153773"/>
    <w:rsid w:val="00154FF8"/>
    <w:rsid w:val="001565F8"/>
    <w:rsid w:val="001757CD"/>
    <w:rsid w:val="001779C8"/>
    <w:rsid w:val="00177AE6"/>
    <w:rsid w:val="00180A9C"/>
    <w:rsid w:val="0018607A"/>
    <w:rsid w:val="00187CE0"/>
    <w:rsid w:val="00191224"/>
    <w:rsid w:val="00194352"/>
    <w:rsid w:val="00194BBD"/>
    <w:rsid w:val="001A2167"/>
    <w:rsid w:val="001A55DE"/>
    <w:rsid w:val="001B1497"/>
    <w:rsid w:val="001B2AEE"/>
    <w:rsid w:val="001B31B5"/>
    <w:rsid w:val="001B6B96"/>
    <w:rsid w:val="001C34A5"/>
    <w:rsid w:val="001C3C97"/>
    <w:rsid w:val="001C5FC2"/>
    <w:rsid w:val="001D0F20"/>
    <w:rsid w:val="001D21D2"/>
    <w:rsid w:val="001D5CE5"/>
    <w:rsid w:val="001D749D"/>
    <w:rsid w:val="001E0EF1"/>
    <w:rsid w:val="001E3EF9"/>
    <w:rsid w:val="001E4641"/>
    <w:rsid w:val="001E576F"/>
    <w:rsid w:val="001E7865"/>
    <w:rsid w:val="001F119C"/>
    <w:rsid w:val="001F45D7"/>
    <w:rsid w:val="00202AA7"/>
    <w:rsid w:val="00211FD5"/>
    <w:rsid w:val="002134C9"/>
    <w:rsid w:val="00222276"/>
    <w:rsid w:val="0022585F"/>
    <w:rsid w:val="0023292F"/>
    <w:rsid w:val="00234CB1"/>
    <w:rsid w:val="0024230A"/>
    <w:rsid w:val="0024393E"/>
    <w:rsid w:val="0025179D"/>
    <w:rsid w:val="002517E6"/>
    <w:rsid w:val="00252136"/>
    <w:rsid w:val="00252B41"/>
    <w:rsid w:val="00255582"/>
    <w:rsid w:val="002562FA"/>
    <w:rsid w:val="00257312"/>
    <w:rsid w:val="002644BA"/>
    <w:rsid w:val="00265C20"/>
    <w:rsid w:val="00265EAC"/>
    <w:rsid w:val="00266E0F"/>
    <w:rsid w:val="002672E2"/>
    <w:rsid w:val="00271C5A"/>
    <w:rsid w:val="002738F9"/>
    <w:rsid w:val="00274F27"/>
    <w:rsid w:val="00276E66"/>
    <w:rsid w:val="00284AB0"/>
    <w:rsid w:val="00285B13"/>
    <w:rsid w:val="002948FF"/>
    <w:rsid w:val="002972B7"/>
    <w:rsid w:val="002972BF"/>
    <w:rsid w:val="002A1C62"/>
    <w:rsid w:val="002A274D"/>
    <w:rsid w:val="002A5B21"/>
    <w:rsid w:val="002B162B"/>
    <w:rsid w:val="002B2343"/>
    <w:rsid w:val="002B5FC9"/>
    <w:rsid w:val="002B6530"/>
    <w:rsid w:val="002B72F3"/>
    <w:rsid w:val="002C0FF9"/>
    <w:rsid w:val="002C24C8"/>
    <w:rsid w:val="002C4EFD"/>
    <w:rsid w:val="002C57AC"/>
    <w:rsid w:val="002C656D"/>
    <w:rsid w:val="002C6BBA"/>
    <w:rsid w:val="002D0C8B"/>
    <w:rsid w:val="002D3BD9"/>
    <w:rsid w:val="002D63CB"/>
    <w:rsid w:val="002E003F"/>
    <w:rsid w:val="002E1BFF"/>
    <w:rsid w:val="002E22F0"/>
    <w:rsid w:val="002E3D2A"/>
    <w:rsid w:val="002E7927"/>
    <w:rsid w:val="002F407E"/>
    <w:rsid w:val="00301810"/>
    <w:rsid w:val="00303942"/>
    <w:rsid w:val="0030653D"/>
    <w:rsid w:val="003105DC"/>
    <w:rsid w:val="00327B06"/>
    <w:rsid w:val="00327D92"/>
    <w:rsid w:val="003322D9"/>
    <w:rsid w:val="003331BC"/>
    <w:rsid w:val="00333565"/>
    <w:rsid w:val="0033531D"/>
    <w:rsid w:val="00337A40"/>
    <w:rsid w:val="0034266A"/>
    <w:rsid w:val="00342ED5"/>
    <w:rsid w:val="0034417B"/>
    <w:rsid w:val="00344198"/>
    <w:rsid w:val="0035494F"/>
    <w:rsid w:val="0035499E"/>
    <w:rsid w:val="003555CA"/>
    <w:rsid w:val="00356A2B"/>
    <w:rsid w:val="00357D6D"/>
    <w:rsid w:val="00360538"/>
    <w:rsid w:val="00360564"/>
    <w:rsid w:val="00366F52"/>
    <w:rsid w:val="00377816"/>
    <w:rsid w:val="00377855"/>
    <w:rsid w:val="00380980"/>
    <w:rsid w:val="00383A52"/>
    <w:rsid w:val="00386476"/>
    <w:rsid w:val="00391B65"/>
    <w:rsid w:val="0039339E"/>
    <w:rsid w:val="003A1C98"/>
    <w:rsid w:val="003A6B6F"/>
    <w:rsid w:val="003B1624"/>
    <w:rsid w:val="003B4069"/>
    <w:rsid w:val="003C2F7D"/>
    <w:rsid w:val="003C4E3C"/>
    <w:rsid w:val="003C66C6"/>
    <w:rsid w:val="003D0BDE"/>
    <w:rsid w:val="003D3FBA"/>
    <w:rsid w:val="003D6441"/>
    <w:rsid w:val="003E07C9"/>
    <w:rsid w:val="003E3570"/>
    <w:rsid w:val="003E75B6"/>
    <w:rsid w:val="003F5299"/>
    <w:rsid w:val="003F670D"/>
    <w:rsid w:val="0040017D"/>
    <w:rsid w:val="00400E14"/>
    <w:rsid w:val="0040222B"/>
    <w:rsid w:val="0040315C"/>
    <w:rsid w:val="00406FB8"/>
    <w:rsid w:val="00412A3F"/>
    <w:rsid w:val="004141E5"/>
    <w:rsid w:val="00415076"/>
    <w:rsid w:val="00417FC9"/>
    <w:rsid w:val="00421815"/>
    <w:rsid w:val="004219D8"/>
    <w:rsid w:val="0042491A"/>
    <w:rsid w:val="00424D35"/>
    <w:rsid w:val="00425D9D"/>
    <w:rsid w:val="004271C3"/>
    <w:rsid w:val="00430AB1"/>
    <w:rsid w:val="00431CD3"/>
    <w:rsid w:val="0043338E"/>
    <w:rsid w:val="00434DDA"/>
    <w:rsid w:val="0044008D"/>
    <w:rsid w:val="0044148F"/>
    <w:rsid w:val="00446818"/>
    <w:rsid w:val="00450AB0"/>
    <w:rsid w:val="004573F6"/>
    <w:rsid w:val="00461B15"/>
    <w:rsid w:val="00462395"/>
    <w:rsid w:val="00462580"/>
    <w:rsid w:val="004755B5"/>
    <w:rsid w:val="00475C2B"/>
    <w:rsid w:val="00482475"/>
    <w:rsid w:val="004830D6"/>
    <w:rsid w:val="00483AF5"/>
    <w:rsid w:val="0048423C"/>
    <w:rsid w:val="00487FBC"/>
    <w:rsid w:val="0049590D"/>
    <w:rsid w:val="00496D0C"/>
    <w:rsid w:val="004A19C1"/>
    <w:rsid w:val="004A41EF"/>
    <w:rsid w:val="004A50EA"/>
    <w:rsid w:val="004B2C35"/>
    <w:rsid w:val="004B3124"/>
    <w:rsid w:val="004B74CC"/>
    <w:rsid w:val="004C2718"/>
    <w:rsid w:val="004C3C3A"/>
    <w:rsid w:val="004C552D"/>
    <w:rsid w:val="004C7E73"/>
    <w:rsid w:val="004D7D12"/>
    <w:rsid w:val="004F04B0"/>
    <w:rsid w:val="004F0F35"/>
    <w:rsid w:val="004F3299"/>
    <w:rsid w:val="004F33C6"/>
    <w:rsid w:val="004F63BD"/>
    <w:rsid w:val="004F6FD3"/>
    <w:rsid w:val="00500D45"/>
    <w:rsid w:val="00505C90"/>
    <w:rsid w:val="005066AC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42D13"/>
    <w:rsid w:val="00542E8D"/>
    <w:rsid w:val="00543C5F"/>
    <w:rsid w:val="00546CF4"/>
    <w:rsid w:val="00547D3D"/>
    <w:rsid w:val="0055051B"/>
    <w:rsid w:val="00550F71"/>
    <w:rsid w:val="00553BAA"/>
    <w:rsid w:val="00555942"/>
    <w:rsid w:val="00556671"/>
    <w:rsid w:val="005578A1"/>
    <w:rsid w:val="00560941"/>
    <w:rsid w:val="00562D9F"/>
    <w:rsid w:val="005731B0"/>
    <w:rsid w:val="00580D71"/>
    <w:rsid w:val="005811A6"/>
    <w:rsid w:val="00583F3C"/>
    <w:rsid w:val="005849C6"/>
    <w:rsid w:val="0058557A"/>
    <w:rsid w:val="00590911"/>
    <w:rsid w:val="0059275C"/>
    <w:rsid w:val="00592F20"/>
    <w:rsid w:val="005954E4"/>
    <w:rsid w:val="0059683F"/>
    <w:rsid w:val="005A114F"/>
    <w:rsid w:val="005A73BB"/>
    <w:rsid w:val="005B1101"/>
    <w:rsid w:val="005B1AD1"/>
    <w:rsid w:val="005B1D11"/>
    <w:rsid w:val="005B3907"/>
    <w:rsid w:val="005B6997"/>
    <w:rsid w:val="005B6B0D"/>
    <w:rsid w:val="005B7CD7"/>
    <w:rsid w:val="005C66FD"/>
    <w:rsid w:val="005D124D"/>
    <w:rsid w:val="005D1CD8"/>
    <w:rsid w:val="005D45F7"/>
    <w:rsid w:val="005D52CA"/>
    <w:rsid w:val="005D55D1"/>
    <w:rsid w:val="005D57A7"/>
    <w:rsid w:val="005F38F3"/>
    <w:rsid w:val="005F4A1C"/>
    <w:rsid w:val="005F5A01"/>
    <w:rsid w:val="005F7A0E"/>
    <w:rsid w:val="006013FF"/>
    <w:rsid w:val="00602A1E"/>
    <w:rsid w:val="006034E7"/>
    <w:rsid w:val="00605C8F"/>
    <w:rsid w:val="006134C7"/>
    <w:rsid w:val="00614940"/>
    <w:rsid w:val="0061765C"/>
    <w:rsid w:val="00617730"/>
    <w:rsid w:val="00617A64"/>
    <w:rsid w:val="00621C36"/>
    <w:rsid w:val="00622A7B"/>
    <w:rsid w:val="00626534"/>
    <w:rsid w:val="00627DED"/>
    <w:rsid w:val="00627F77"/>
    <w:rsid w:val="00631A14"/>
    <w:rsid w:val="006321CF"/>
    <w:rsid w:val="00634448"/>
    <w:rsid w:val="00635287"/>
    <w:rsid w:val="00635837"/>
    <w:rsid w:val="00636D7B"/>
    <w:rsid w:val="00643233"/>
    <w:rsid w:val="00644B51"/>
    <w:rsid w:val="00645C6C"/>
    <w:rsid w:val="006531B1"/>
    <w:rsid w:val="00661178"/>
    <w:rsid w:val="00666B92"/>
    <w:rsid w:val="00666D61"/>
    <w:rsid w:val="006728FC"/>
    <w:rsid w:val="00673105"/>
    <w:rsid w:val="00675AFE"/>
    <w:rsid w:val="006765F4"/>
    <w:rsid w:val="0068497E"/>
    <w:rsid w:val="00684BBE"/>
    <w:rsid w:val="006850AC"/>
    <w:rsid w:val="00687ACA"/>
    <w:rsid w:val="00687D1F"/>
    <w:rsid w:val="00692913"/>
    <w:rsid w:val="006A352E"/>
    <w:rsid w:val="006A45D6"/>
    <w:rsid w:val="006B2372"/>
    <w:rsid w:val="006B61F8"/>
    <w:rsid w:val="006C1568"/>
    <w:rsid w:val="006D4C4A"/>
    <w:rsid w:val="006D54CF"/>
    <w:rsid w:val="006D67D9"/>
    <w:rsid w:val="006E090D"/>
    <w:rsid w:val="006E1BD1"/>
    <w:rsid w:val="006E734D"/>
    <w:rsid w:val="006F0EC9"/>
    <w:rsid w:val="007003F1"/>
    <w:rsid w:val="007005C1"/>
    <w:rsid w:val="00702BAF"/>
    <w:rsid w:val="00703A09"/>
    <w:rsid w:val="00704C59"/>
    <w:rsid w:val="0072414F"/>
    <w:rsid w:val="00732388"/>
    <w:rsid w:val="00741911"/>
    <w:rsid w:val="00745041"/>
    <w:rsid w:val="00745905"/>
    <w:rsid w:val="0074699C"/>
    <w:rsid w:val="00750A0B"/>
    <w:rsid w:val="00750CAB"/>
    <w:rsid w:val="007541B8"/>
    <w:rsid w:val="007544F6"/>
    <w:rsid w:val="007602AD"/>
    <w:rsid w:val="00766F27"/>
    <w:rsid w:val="00771A8C"/>
    <w:rsid w:val="0077385A"/>
    <w:rsid w:val="007762A6"/>
    <w:rsid w:val="00777DCB"/>
    <w:rsid w:val="00777F62"/>
    <w:rsid w:val="00780C5B"/>
    <w:rsid w:val="0078114E"/>
    <w:rsid w:val="00784EA3"/>
    <w:rsid w:val="00786B3E"/>
    <w:rsid w:val="007879E8"/>
    <w:rsid w:val="00791540"/>
    <w:rsid w:val="00792D61"/>
    <w:rsid w:val="007A1B25"/>
    <w:rsid w:val="007A1DC0"/>
    <w:rsid w:val="007A5A13"/>
    <w:rsid w:val="007A60F2"/>
    <w:rsid w:val="007B1244"/>
    <w:rsid w:val="007B5066"/>
    <w:rsid w:val="007C1D06"/>
    <w:rsid w:val="007C6735"/>
    <w:rsid w:val="007D5486"/>
    <w:rsid w:val="007D61E0"/>
    <w:rsid w:val="007D723C"/>
    <w:rsid w:val="007D7446"/>
    <w:rsid w:val="007D7D41"/>
    <w:rsid w:val="007E200B"/>
    <w:rsid w:val="007E3FE1"/>
    <w:rsid w:val="007E554B"/>
    <w:rsid w:val="007E6C44"/>
    <w:rsid w:val="007E6FF6"/>
    <w:rsid w:val="007E7A6F"/>
    <w:rsid w:val="007F07F8"/>
    <w:rsid w:val="007F128C"/>
    <w:rsid w:val="007F4D2C"/>
    <w:rsid w:val="008021C7"/>
    <w:rsid w:val="008032DB"/>
    <w:rsid w:val="00804B6F"/>
    <w:rsid w:val="00805893"/>
    <w:rsid w:val="00805D8C"/>
    <w:rsid w:val="008144EA"/>
    <w:rsid w:val="0081451A"/>
    <w:rsid w:val="0081636F"/>
    <w:rsid w:val="00824EBE"/>
    <w:rsid w:val="0082513E"/>
    <w:rsid w:val="008273C9"/>
    <w:rsid w:val="008314DC"/>
    <w:rsid w:val="00840181"/>
    <w:rsid w:val="0084118C"/>
    <w:rsid w:val="008413EF"/>
    <w:rsid w:val="0084143B"/>
    <w:rsid w:val="00845458"/>
    <w:rsid w:val="00847AB1"/>
    <w:rsid w:val="0085200A"/>
    <w:rsid w:val="00852590"/>
    <w:rsid w:val="008575B7"/>
    <w:rsid w:val="0086332B"/>
    <w:rsid w:val="00864B67"/>
    <w:rsid w:val="0087110D"/>
    <w:rsid w:val="00873C38"/>
    <w:rsid w:val="00874110"/>
    <w:rsid w:val="00876383"/>
    <w:rsid w:val="00877B87"/>
    <w:rsid w:val="00882785"/>
    <w:rsid w:val="00884BF2"/>
    <w:rsid w:val="008850C0"/>
    <w:rsid w:val="0089138A"/>
    <w:rsid w:val="00894787"/>
    <w:rsid w:val="00895000"/>
    <w:rsid w:val="008A097D"/>
    <w:rsid w:val="008A25E9"/>
    <w:rsid w:val="008A65A1"/>
    <w:rsid w:val="008A7052"/>
    <w:rsid w:val="008A7333"/>
    <w:rsid w:val="008B0AFA"/>
    <w:rsid w:val="008B24BF"/>
    <w:rsid w:val="008B5F54"/>
    <w:rsid w:val="008C38D2"/>
    <w:rsid w:val="008C591B"/>
    <w:rsid w:val="008D0789"/>
    <w:rsid w:val="008D5CA5"/>
    <w:rsid w:val="008D6AE1"/>
    <w:rsid w:val="008E19F9"/>
    <w:rsid w:val="008E2CAA"/>
    <w:rsid w:val="008E4FA4"/>
    <w:rsid w:val="008E5031"/>
    <w:rsid w:val="008E52FB"/>
    <w:rsid w:val="008F103C"/>
    <w:rsid w:val="008F319F"/>
    <w:rsid w:val="008F4928"/>
    <w:rsid w:val="008F56AD"/>
    <w:rsid w:val="008F7A41"/>
    <w:rsid w:val="009031A6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1F85"/>
    <w:rsid w:val="00933B75"/>
    <w:rsid w:val="00933BA9"/>
    <w:rsid w:val="00933BCD"/>
    <w:rsid w:val="00935687"/>
    <w:rsid w:val="00936578"/>
    <w:rsid w:val="00936CD5"/>
    <w:rsid w:val="00941367"/>
    <w:rsid w:val="00950264"/>
    <w:rsid w:val="00952748"/>
    <w:rsid w:val="009561E2"/>
    <w:rsid w:val="00957D20"/>
    <w:rsid w:val="00963EF7"/>
    <w:rsid w:val="00971D81"/>
    <w:rsid w:val="00972A21"/>
    <w:rsid w:val="00974CFA"/>
    <w:rsid w:val="00977119"/>
    <w:rsid w:val="00980153"/>
    <w:rsid w:val="00982225"/>
    <w:rsid w:val="0098276F"/>
    <w:rsid w:val="00983F09"/>
    <w:rsid w:val="009A42CA"/>
    <w:rsid w:val="009A4843"/>
    <w:rsid w:val="009A55AA"/>
    <w:rsid w:val="009A5D5B"/>
    <w:rsid w:val="009B0344"/>
    <w:rsid w:val="009B0A2E"/>
    <w:rsid w:val="009B15B5"/>
    <w:rsid w:val="009B314B"/>
    <w:rsid w:val="009C255E"/>
    <w:rsid w:val="009C2D85"/>
    <w:rsid w:val="009C34B0"/>
    <w:rsid w:val="009C364A"/>
    <w:rsid w:val="009D0C8A"/>
    <w:rsid w:val="009D1C4F"/>
    <w:rsid w:val="009E0E57"/>
    <w:rsid w:val="009E1590"/>
    <w:rsid w:val="009E273D"/>
    <w:rsid w:val="009E517E"/>
    <w:rsid w:val="009E6E02"/>
    <w:rsid w:val="009E76EF"/>
    <w:rsid w:val="009F42C7"/>
    <w:rsid w:val="009F5526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130B"/>
    <w:rsid w:val="00A22B36"/>
    <w:rsid w:val="00A352F0"/>
    <w:rsid w:val="00A36981"/>
    <w:rsid w:val="00A41183"/>
    <w:rsid w:val="00A41EE3"/>
    <w:rsid w:val="00A574F8"/>
    <w:rsid w:val="00A622F5"/>
    <w:rsid w:val="00A642EE"/>
    <w:rsid w:val="00A64341"/>
    <w:rsid w:val="00A67006"/>
    <w:rsid w:val="00A71667"/>
    <w:rsid w:val="00A71EE4"/>
    <w:rsid w:val="00A805B9"/>
    <w:rsid w:val="00A80971"/>
    <w:rsid w:val="00A837B5"/>
    <w:rsid w:val="00A83DE8"/>
    <w:rsid w:val="00A8619A"/>
    <w:rsid w:val="00A93DC6"/>
    <w:rsid w:val="00A93DEE"/>
    <w:rsid w:val="00A94891"/>
    <w:rsid w:val="00A94BAA"/>
    <w:rsid w:val="00A95A78"/>
    <w:rsid w:val="00AA1820"/>
    <w:rsid w:val="00AA196A"/>
    <w:rsid w:val="00AA2089"/>
    <w:rsid w:val="00AA2DE2"/>
    <w:rsid w:val="00AA407D"/>
    <w:rsid w:val="00AA5338"/>
    <w:rsid w:val="00AA6E35"/>
    <w:rsid w:val="00AB0CDF"/>
    <w:rsid w:val="00AB26E1"/>
    <w:rsid w:val="00AB2BB3"/>
    <w:rsid w:val="00AB5A68"/>
    <w:rsid w:val="00AB5CFD"/>
    <w:rsid w:val="00AB622C"/>
    <w:rsid w:val="00AC1DA7"/>
    <w:rsid w:val="00AC4655"/>
    <w:rsid w:val="00AD0670"/>
    <w:rsid w:val="00AD1997"/>
    <w:rsid w:val="00AD258F"/>
    <w:rsid w:val="00AD4E02"/>
    <w:rsid w:val="00AE0A9C"/>
    <w:rsid w:val="00AE0CC6"/>
    <w:rsid w:val="00AE16F6"/>
    <w:rsid w:val="00AE23DA"/>
    <w:rsid w:val="00AE3D81"/>
    <w:rsid w:val="00AE679B"/>
    <w:rsid w:val="00AE79CA"/>
    <w:rsid w:val="00AF13FC"/>
    <w:rsid w:val="00AF24BD"/>
    <w:rsid w:val="00B02445"/>
    <w:rsid w:val="00B0410E"/>
    <w:rsid w:val="00B0669A"/>
    <w:rsid w:val="00B06C3E"/>
    <w:rsid w:val="00B07AF0"/>
    <w:rsid w:val="00B07FD1"/>
    <w:rsid w:val="00B11F64"/>
    <w:rsid w:val="00B121C9"/>
    <w:rsid w:val="00B121F4"/>
    <w:rsid w:val="00B13165"/>
    <w:rsid w:val="00B14577"/>
    <w:rsid w:val="00B1512A"/>
    <w:rsid w:val="00B20AA3"/>
    <w:rsid w:val="00B22788"/>
    <w:rsid w:val="00B22D4A"/>
    <w:rsid w:val="00B23071"/>
    <w:rsid w:val="00B23EB7"/>
    <w:rsid w:val="00B25106"/>
    <w:rsid w:val="00B26CB2"/>
    <w:rsid w:val="00B306D2"/>
    <w:rsid w:val="00B44BE7"/>
    <w:rsid w:val="00B50E24"/>
    <w:rsid w:val="00B526EB"/>
    <w:rsid w:val="00B53BBB"/>
    <w:rsid w:val="00B5765E"/>
    <w:rsid w:val="00B626B2"/>
    <w:rsid w:val="00B635B8"/>
    <w:rsid w:val="00B657B2"/>
    <w:rsid w:val="00B6793E"/>
    <w:rsid w:val="00B706ED"/>
    <w:rsid w:val="00B72388"/>
    <w:rsid w:val="00B733C7"/>
    <w:rsid w:val="00B742FA"/>
    <w:rsid w:val="00B8128E"/>
    <w:rsid w:val="00B8169D"/>
    <w:rsid w:val="00B84CE2"/>
    <w:rsid w:val="00B875E8"/>
    <w:rsid w:val="00B94EA8"/>
    <w:rsid w:val="00B959B3"/>
    <w:rsid w:val="00B97256"/>
    <w:rsid w:val="00BA0FFA"/>
    <w:rsid w:val="00BA749B"/>
    <w:rsid w:val="00BB2112"/>
    <w:rsid w:val="00BB2D60"/>
    <w:rsid w:val="00BB5FC3"/>
    <w:rsid w:val="00BB64B1"/>
    <w:rsid w:val="00BB761F"/>
    <w:rsid w:val="00BC55DC"/>
    <w:rsid w:val="00BC5DD0"/>
    <w:rsid w:val="00BD025D"/>
    <w:rsid w:val="00BD22C6"/>
    <w:rsid w:val="00BD76CD"/>
    <w:rsid w:val="00BE0222"/>
    <w:rsid w:val="00BE5537"/>
    <w:rsid w:val="00BF1113"/>
    <w:rsid w:val="00BF54C4"/>
    <w:rsid w:val="00BF6DEF"/>
    <w:rsid w:val="00BF7A10"/>
    <w:rsid w:val="00C019FA"/>
    <w:rsid w:val="00C03C6B"/>
    <w:rsid w:val="00C048C0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41C4"/>
    <w:rsid w:val="00C36872"/>
    <w:rsid w:val="00C36E32"/>
    <w:rsid w:val="00C377A0"/>
    <w:rsid w:val="00C40398"/>
    <w:rsid w:val="00C40DAD"/>
    <w:rsid w:val="00C42379"/>
    <w:rsid w:val="00C44AF2"/>
    <w:rsid w:val="00C479DD"/>
    <w:rsid w:val="00C500EE"/>
    <w:rsid w:val="00C64159"/>
    <w:rsid w:val="00C647B5"/>
    <w:rsid w:val="00C6656F"/>
    <w:rsid w:val="00C66A4A"/>
    <w:rsid w:val="00C67340"/>
    <w:rsid w:val="00C67D20"/>
    <w:rsid w:val="00C70DE0"/>
    <w:rsid w:val="00C70F05"/>
    <w:rsid w:val="00C712B4"/>
    <w:rsid w:val="00C769BA"/>
    <w:rsid w:val="00C8150D"/>
    <w:rsid w:val="00C84FE2"/>
    <w:rsid w:val="00C8551D"/>
    <w:rsid w:val="00C86492"/>
    <w:rsid w:val="00C8749B"/>
    <w:rsid w:val="00C90C2B"/>
    <w:rsid w:val="00C92A2E"/>
    <w:rsid w:val="00C9372F"/>
    <w:rsid w:val="00C943B9"/>
    <w:rsid w:val="00C957E0"/>
    <w:rsid w:val="00C963D3"/>
    <w:rsid w:val="00C97910"/>
    <w:rsid w:val="00CA3693"/>
    <w:rsid w:val="00CA41ED"/>
    <w:rsid w:val="00CB3368"/>
    <w:rsid w:val="00CB3DB5"/>
    <w:rsid w:val="00CB4579"/>
    <w:rsid w:val="00CB68B9"/>
    <w:rsid w:val="00CC1A38"/>
    <w:rsid w:val="00CC34E9"/>
    <w:rsid w:val="00CC67DB"/>
    <w:rsid w:val="00CC6D0B"/>
    <w:rsid w:val="00CD12E3"/>
    <w:rsid w:val="00CD1454"/>
    <w:rsid w:val="00CD31E3"/>
    <w:rsid w:val="00CD3E0B"/>
    <w:rsid w:val="00CD51A8"/>
    <w:rsid w:val="00CD5E90"/>
    <w:rsid w:val="00CD66FD"/>
    <w:rsid w:val="00CE10B5"/>
    <w:rsid w:val="00CE39CD"/>
    <w:rsid w:val="00CE480C"/>
    <w:rsid w:val="00CE57F6"/>
    <w:rsid w:val="00CE6DE0"/>
    <w:rsid w:val="00CE7E0B"/>
    <w:rsid w:val="00CF04EA"/>
    <w:rsid w:val="00CF11FD"/>
    <w:rsid w:val="00CF5415"/>
    <w:rsid w:val="00D019E7"/>
    <w:rsid w:val="00D046B5"/>
    <w:rsid w:val="00D0793C"/>
    <w:rsid w:val="00D101E5"/>
    <w:rsid w:val="00D114EF"/>
    <w:rsid w:val="00D12D07"/>
    <w:rsid w:val="00D1315A"/>
    <w:rsid w:val="00D15DBE"/>
    <w:rsid w:val="00D2452B"/>
    <w:rsid w:val="00D263F1"/>
    <w:rsid w:val="00D26D4F"/>
    <w:rsid w:val="00D313A3"/>
    <w:rsid w:val="00D45088"/>
    <w:rsid w:val="00D568C6"/>
    <w:rsid w:val="00D56A0B"/>
    <w:rsid w:val="00D57FB3"/>
    <w:rsid w:val="00D60254"/>
    <w:rsid w:val="00D606E7"/>
    <w:rsid w:val="00D623A6"/>
    <w:rsid w:val="00D62E1F"/>
    <w:rsid w:val="00D64907"/>
    <w:rsid w:val="00D746D6"/>
    <w:rsid w:val="00D76A16"/>
    <w:rsid w:val="00D8158C"/>
    <w:rsid w:val="00D8459E"/>
    <w:rsid w:val="00D848C2"/>
    <w:rsid w:val="00D84F22"/>
    <w:rsid w:val="00D92E7D"/>
    <w:rsid w:val="00D941E0"/>
    <w:rsid w:val="00D94316"/>
    <w:rsid w:val="00D96CCE"/>
    <w:rsid w:val="00D97A9D"/>
    <w:rsid w:val="00DA0FA2"/>
    <w:rsid w:val="00DA5F17"/>
    <w:rsid w:val="00DA7072"/>
    <w:rsid w:val="00DB127F"/>
    <w:rsid w:val="00DB24D7"/>
    <w:rsid w:val="00DB2F97"/>
    <w:rsid w:val="00DB4B97"/>
    <w:rsid w:val="00DB588A"/>
    <w:rsid w:val="00DB6740"/>
    <w:rsid w:val="00DB677D"/>
    <w:rsid w:val="00DB71E3"/>
    <w:rsid w:val="00DB7916"/>
    <w:rsid w:val="00DC24CB"/>
    <w:rsid w:val="00DC3467"/>
    <w:rsid w:val="00DC4BBF"/>
    <w:rsid w:val="00DC68A4"/>
    <w:rsid w:val="00DD1D32"/>
    <w:rsid w:val="00DD1F3E"/>
    <w:rsid w:val="00DD21EE"/>
    <w:rsid w:val="00DE1CD6"/>
    <w:rsid w:val="00DE3E8D"/>
    <w:rsid w:val="00DE509F"/>
    <w:rsid w:val="00DE71A7"/>
    <w:rsid w:val="00DF21C1"/>
    <w:rsid w:val="00DF26C5"/>
    <w:rsid w:val="00DF2978"/>
    <w:rsid w:val="00DF63DC"/>
    <w:rsid w:val="00E01BD3"/>
    <w:rsid w:val="00E03C95"/>
    <w:rsid w:val="00E04310"/>
    <w:rsid w:val="00E05891"/>
    <w:rsid w:val="00E106B9"/>
    <w:rsid w:val="00E11B95"/>
    <w:rsid w:val="00E1301D"/>
    <w:rsid w:val="00E16447"/>
    <w:rsid w:val="00E17604"/>
    <w:rsid w:val="00E17E52"/>
    <w:rsid w:val="00E216DA"/>
    <w:rsid w:val="00E24CDB"/>
    <w:rsid w:val="00E24D94"/>
    <w:rsid w:val="00E24EC0"/>
    <w:rsid w:val="00E253A4"/>
    <w:rsid w:val="00E265CE"/>
    <w:rsid w:val="00E3717B"/>
    <w:rsid w:val="00E37A74"/>
    <w:rsid w:val="00E438A0"/>
    <w:rsid w:val="00E44E6E"/>
    <w:rsid w:val="00E52D70"/>
    <w:rsid w:val="00E54211"/>
    <w:rsid w:val="00E54932"/>
    <w:rsid w:val="00E55EB5"/>
    <w:rsid w:val="00E56A0E"/>
    <w:rsid w:val="00E60A5F"/>
    <w:rsid w:val="00E60D90"/>
    <w:rsid w:val="00E615EC"/>
    <w:rsid w:val="00E63417"/>
    <w:rsid w:val="00E64A62"/>
    <w:rsid w:val="00E65EB4"/>
    <w:rsid w:val="00E819FF"/>
    <w:rsid w:val="00E81BAE"/>
    <w:rsid w:val="00E8215D"/>
    <w:rsid w:val="00E82AA3"/>
    <w:rsid w:val="00E84B8C"/>
    <w:rsid w:val="00E879DB"/>
    <w:rsid w:val="00E926F5"/>
    <w:rsid w:val="00E935DF"/>
    <w:rsid w:val="00E94A82"/>
    <w:rsid w:val="00EA04A3"/>
    <w:rsid w:val="00EA2FBA"/>
    <w:rsid w:val="00EA73C1"/>
    <w:rsid w:val="00EB54F6"/>
    <w:rsid w:val="00EB55CD"/>
    <w:rsid w:val="00EC0F55"/>
    <w:rsid w:val="00EC1209"/>
    <w:rsid w:val="00EC2200"/>
    <w:rsid w:val="00EC2A35"/>
    <w:rsid w:val="00EC438C"/>
    <w:rsid w:val="00ED008E"/>
    <w:rsid w:val="00ED1819"/>
    <w:rsid w:val="00ED6081"/>
    <w:rsid w:val="00ED7653"/>
    <w:rsid w:val="00EE18CC"/>
    <w:rsid w:val="00EE6711"/>
    <w:rsid w:val="00EF0866"/>
    <w:rsid w:val="00EF4465"/>
    <w:rsid w:val="00EF4A62"/>
    <w:rsid w:val="00EF7114"/>
    <w:rsid w:val="00EF7A4E"/>
    <w:rsid w:val="00F04945"/>
    <w:rsid w:val="00F04C27"/>
    <w:rsid w:val="00F05BCC"/>
    <w:rsid w:val="00F068AF"/>
    <w:rsid w:val="00F17CDF"/>
    <w:rsid w:val="00F17D02"/>
    <w:rsid w:val="00F2022C"/>
    <w:rsid w:val="00F21886"/>
    <w:rsid w:val="00F21ACC"/>
    <w:rsid w:val="00F25070"/>
    <w:rsid w:val="00F254DB"/>
    <w:rsid w:val="00F2594D"/>
    <w:rsid w:val="00F26B9A"/>
    <w:rsid w:val="00F339FE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1BDD"/>
    <w:rsid w:val="00F52A5A"/>
    <w:rsid w:val="00F54B06"/>
    <w:rsid w:val="00F618AD"/>
    <w:rsid w:val="00F75299"/>
    <w:rsid w:val="00F763E7"/>
    <w:rsid w:val="00F831D0"/>
    <w:rsid w:val="00F85601"/>
    <w:rsid w:val="00F8700C"/>
    <w:rsid w:val="00F87CB0"/>
    <w:rsid w:val="00F9125D"/>
    <w:rsid w:val="00F914A8"/>
    <w:rsid w:val="00F917F3"/>
    <w:rsid w:val="00F96ABF"/>
    <w:rsid w:val="00F979F3"/>
    <w:rsid w:val="00FA482A"/>
    <w:rsid w:val="00FA48C3"/>
    <w:rsid w:val="00FB25FE"/>
    <w:rsid w:val="00FB5D06"/>
    <w:rsid w:val="00FC1C85"/>
    <w:rsid w:val="00FC5038"/>
    <w:rsid w:val="00FC75C4"/>
    <w:rsid w:val="00FC79EE"/>
    <w:rsid w:val="00FC7A69"/>
    <w:rsid w:val="00FD2AC8"/>
    <w:rsid w:val="00FD5C8F"/>
    <w:rsid w:val="00FE2437"/>
    <w:rsid w:val="00FE659A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1898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8</cp:revision>
  <cp:lastPrinted>2019-11-08T00:46:00Z</cp:lastPrinted>
  <dcterms:created xsi:type="dcterms:W3CDTF">2021-11-05T23:40:00Z</dcterms:created>
  <dcterms:modified xsi:type="dcterms:W3CDTF">2022-01-10T07:15:00Z</dcterms:modified>
  <cp:category/>
</cp:coreProperties>
</file>